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F802D" w14:textId="77777777" w:rsidR="00370202" w:rsidRDefault="001047CC">
      <w:pPr>
        <w:spacing w:after="0" w:line="240" w:lineRule="auto"/>
        <w:ind w:left="255" w:right="249"/>
        <w:jc w:val="center"/>
        <w:rPr>
          <w:rFonts w:ascii="Arial" w:eastAsia="Arial" w:hAnsi="Arial" w:cs="Arial"/>
          <w:b/>
          <w:bCs/>
          <w:sz w:val="24"/>
          <w:szCs w:val="24"/>
        </w:rPr>
      </w:pPr>
      <w:r>
        <w:rPr>
          <w:rFonts w:ascii="Arial" w:eastAsia="Arial" w:hAnsi="Arial" w:cs="Arial"/>
          <w:b/>
          <w:bCs/>
          <w:sz w:val="24"/>
          <w:szCs w:val="24"/>
        </w:rPr>
        <w:t>DESAFIOS DA EDUCAÇÃO CONTEMPORÂNEA: A SUBJETIVAÇÃO NA ESCOLA, INCLUSÃO E PROFISSÃO DOCENTE</w:t>
      </w:r>
    </w:p>
    <w:p w14:paraId="4F3515DD" w14:textId="77777777" w:rsidR="00370202" w:rsidRDefault="00370202">
      <w:pPr>
        <w:spacing w:after="0" w:line="480" w:lineRule="auto"/>
        <w:jc w:val="right"/>
        <w:rPr>
          <w:rFonts w:ascii="Arial" w:eastAsia="Arial" w:hAnsi="Arial" w:cs="Arial"/>
          <w:sz w:val="24"/>
          <w:szCs w:val="24"/>
        </w:rPr>
      </w:pPr>
    </w:p>
    <w:p w14:paraId="42949F1E" w14:textId="77777777" w:rsidR="00370202" w:rsidRDefault="001047CC">
      <w:pPr>
        <w:spacing w:after="0" w:line="240" w:lineRule="auto"/>
        <w:jc w:val="right"/>
        <w:rPr>
          <w:rFonts w:ascii="Arial" w:eastAsia="Arial" w:hAnsi="Arial" w:cs="Arial"/>
          <w:sz w:val="24"/>
          <w:szCs w:val="24"/>
        </w:rPr>
      </w:pPr>
      <w:r>
        <w:rPr>
          <w:rFonts w:ascii="Arial" w:eastAsia="Arial" w:hAnsi="Arial" w:cs="Arial"/>
          <w:sz w:val="24"/>
          <w:szCs w:val="24"/>
        </w:rPr>
        <w:t>Karla Janaina de Souza Brito Pires¹</w:t>
      </w:r>
    </w:p>
    <w:p w14:paraId="5AA927F3" w14:textId="77777777" w:rsidR="00370202" w:rsidRDefault="001047CC">
      <w:pPr>
        <w:spacing w:after="0" w:line="480" w:lineRule="auto"/>
        <w:jc w:val="right"/>
        <w:rPr>
          <w:rFonts w:ascii="Arial" w:eastAsia="Arial" w:hAnsi="Arial" w:cs="Arial"/>
          <w:sz w:val="24"/>
          <w:szCs w:val="24"/>
        </w:rPr>
      </w:pPr>
      <w:r>
        <w:rPr>
          <w:rFonts w:ascii="Arial" w:eastAsia="Arial" w:hAnsi="Arial" w:cs="Arial"/>
          <w:sz w:val="24"/>
          <w:szCs w:val="24"/>
        </w:rPr>
        <w:t>Daniella Couto Lôbo²</w:t>
      </w:r>
    </w:p>
    <w:p w14:paraId="266E7E41" w14:textId="77777777" w:rsidR="00370202" w:rsidRDefault="001047CC">
      <w:pPr>
        <w:spacing w:after="0" w:line="240" w:lineRule="auto"/>
        <w:jc w:val="both"/>
        <w:rPr>
          <w:rFonts w:ascii="Arial" w:eastAsia="Arial" w:hAnsi="Arial" w:cs="Arial"/>
          <w:sz w:val="24"/>
          <w:szCs w:val="24"/>
        </w:rPr>
      </w:pPr>
      <w:r>
        <w:rPr>
          <w:rFonts w:ascii="Arial" w:eastAsia="Arial" w:hAnsi="Arial" w:cs="Arial"/>
          <w:b/>
          <w:bCs/>
          <w:sz w:val="24"/>
          <w:szCs w:val="24"/>
        </w:rPr>
        <w:t xml:space="preserve">Resumo: </w:t>
      </w:r>
      <w:r>
        <w:rPr>
          <w:rFonts w:ascii="Arial" w:eastAsia="Arial" w:hAnsi="Arial" w:cs="Arial"/>
          <w:sz w:val="24"/>
          <w:szCs w:val="24"/>
        </w:rPr>
        <w:t>Este artigo discute os principais desafios enfrentados pela educação contemporânea, considerando as transformações sociais, tecnológicas e políticas que impactam os processos de ensino-aprendizagem, a inclusão escolar e a identidade profissional dos docentes. Com base em uma revisão bibliográfica interpretativa, a análise aborda os efeitos das tecnologias digitais na relação entre professores e alunos, bem como as novas formas de subjetividade que emergem no ambiente escolar. Além disso, problematiza-se a inclusão educacional, destacando tensões éticas e práticas que atravessam a atuação docente, especialmente diante da ausência de suporte institucional adequado. Por fim, o texto analisa a transição da vocação para a profissionalização docente, refletindo sobre as implicações desse movimento na valorização do professor e na autonomia pedagógica. Conclui-se que é necessário repensar os modelos educacionais, incorporando práticas que promovam uma educação crítica, inclusiva e humanizadora, alinhada às demandas de uma sociedade em constante transformação.</w:t>
      </w:r>
    </w:p>
    <w:p w14:paraId="77EE4972" w14:textId="77777777" w:rsidR="00370202" w:rsidRDefault="00370202">
      <w:pPr>
        <w:spacing w:after="0" w:line="480" w:lineRule="auto"/>
        <w:jc w:val="both"/>
        <w:rPr>
          <w:rFonts w:ascii="Arial" w:eastAsia="Arial" w:hAnsi="Arial" w:cs="Arial"/>
          <w:sz w:val="24"/>
          <w:szCs w:val="24"/>
        </w:rPr>
      </w:pPr>
    </w:p>
    <w:p w14:paraId="0B847F59" w14:textId="77777777" w:rsidR="00370202" w:rsidRDefault="001047CC">
      <w:pPr>
        <w:spacing w:after="0" w:line="480" w:lineRule="auto"/>
        <w:jc w:val="both"/>
        <w:rPr>
          <w:rFonts w:ascii="Arial" w:eastAsia="Arial" w:hAnsi="Arial" w:cs="Arial"/>
          <w:sz w:val="24"/>
          <w:szCs w:val="24"/>
        </w:rPr>
      </w:pPr>
      <w:r>
        <w:rPr>
          <w:rFonts w:ascii="Arial" w:eastAsia="Arial" w:hAnsi="Arial" w:cs="Arial"/>
          <w:b/>
          <w:bCs/>
          <w:sz w:val="24"/>
          <w:szCs w:val="24"/>
        </w:rPr>
        <w:t>Palavras-chave:</w:t>
      </w:r>
      <w:r>
        <w:rPr>
          <w:rFonts w:ascii="Arial" w:eastAsia="Arial" w:hAnsi="Arial" w:cs="Arial"/>
          <w:sz w:val="24"/>
          <w:szCs w:val="24"/>
        </w:rPr>
        <w:t xml:space="preserve"> Educação contemporânea. Subjetividade. Identidade docente. </w:t>
      </w:r>
    </w:p>
    <w:p w14:paraId="75162038" w14:textId="77777777" w:rsidR="00370202" w:rsidRDefault="001047CC">
      <w:pPr>
        <w:spacing w:after="0" w:line="240" w:lineRule="auto"/>
        <w:jc w:val="center"/>
        <w:rPr>
          <w:rFonts w:ascii="Arial" w:eastAsia="Arial" w:hAnsi="Arial" w:cs="Arial"/>
          <w:b/>
          <w:bCs/>
          <w:sz w:val="24"/>
          <w:szCs w:val="24"/>
        </w:rPr>
      </w:pPr>
      <w:proofErr w:type="spellStart"/>
      <w:r>
        <w:rPr>
          <w:rFonts w:ascii="Arial" w:eastAsia="Arial" w:hAnsi="Arial" w:cs="Arial"/>
          <w:b/>
          <w:bCs/>
          <w:sz w:val="24"/>
          <w:szCs w:val="24"/>
        </w:rPr>
        <w:t>Challenges</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of</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Contemporary</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Education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Subjectivation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at</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School</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Inclusion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and</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the</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Teaching</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Profession</w:t>
      </w:r>
      <w:proofErr w:type="spellEnd"/>
    </w:p>
    <w:p w14:paraId="6CDEE898" w14:textId="77777777" w:rsidR="00370202" w:rsidRDefault="00370202">
      <w:pPr>
        <w:spacing w:after="0" w:line="240" w:lineRule="auto"/>
        <w:jc w:val="center"/>
        <w:rPr>
          <w:rFonts w:ascii="Arial" w:eastAsia="Arial" w:hAnsi="Arial" w:cs="Arial"/>
          <w:b/>
          <w:bCs/>
          <w:sz w:val="24"/>
          <w:szCs w:val="24"/>
        </w:rPr>
      </w:pPr>
    </w:p>
    <w:p w14:paraId="3E8E10EC" w14:textId="77777777" w:rsidR="00370202" w:rsidRDefault="00370202">
      <w:pPr>
        <w:spacing w:after="0" w:line="240" w:lineRule="auto"/>
        <w:jc w:val="center"/>
        <w:rPr>
          <w:rFonts w:ascii="Arial" w:eastAsia="Arial" w:hAnsi="Arial" w:cs="Arial"/>
          <w:b/>
          <w:bCs/>
          <w:sz w:val="24"/>
          <w:szCs w:val="24"/>
        </w:rPr>
      </w:pPr>
    </w:p>
    <w:p w14:paraId="6B2BF164" w14:textId="77777777" w:rsidR="00370202" w:rsidRDefault="001047CC">
      <w:pPr>
        <w:spacing w:after="0" w:line="240" w:lineRule="auto"/>
        <w:jc w:val="both"/>
        <w:rPr>
          <w:rFonts w:ascii="Arial" w:eastAsia="Arial" w:hAnsi="Arial" w:cs="Arial"/>
          <w:sz w:val="24"/>
          <w:szCs w:val="24"/>
        </w:rPr>
      </w:pPr>
      <w:r>
        <w:rPr>
          <w:rFonts w:ascii="Arial" w:eastAsia="Arial" w:hAnsi="Arial" w:cs="Arial"/>
          <w:b/>
          <w:bCs/>
          <w:sz w:val="24"/>
          <w:szCs w:val="24"/>
        </w:rPr>
        <w:t xml:space="preserve">Abstract: </w:t>
      </w:r>
      <w:proofErr w:type="spellStart"/>
      <w:r>
        <w:rPr>
          <w:rFonts w:ascii="Arial" w:eastAsia="Arial" w:hAnsi="Arial" w:cs="Arial"/>
          <w:sz w:val="24"/>
          <w:szCs w:val="24"/>
        </w:rPr>
        <w:t>This</w:t>
      </w:r>
      <w:proofErr w:type="spellEnd"/>
      <w:r>
        <w:rPr>
          <w:rFonts w:ascii="Arial" w:eastAsia="Arial" w:hAnsi="Arial" w:cs="Arial"/>
          <w:sz w:val="24"/>
          <w:szCs w:val="24"/>
        </w:rPr>
        <w:t xml:space="preserve"> </w:t>
      </w:r>
      <w:proofErr w:type="spellStart"/>
      <w:r>
        <w:rPr>
          <w:rFonts w:ascii="Arial" w:eastAsia="Arial" w:hAnsi="Arial" w:cs="Arial"/>
          <w:sz w:val="24"/>
          <w:szCs w:val="24"/>
        </w:rPr>
        <w:t>article</w:t>
      </w:r>
      <w:proofErr w:type="spellEnd"/>
      <w:r>
        <w:rPr>
          <w:rFonts w:ascii="Arial" w:eastAsia="Arial" w:hAnsi="Arial" w:cs="Arial"/>
          <w:sz w:val="24"/>
          <w:szCs w:val="24"/>
        </w:rPr>
        <w:t xml:space="preserve"> </w:t>
      </w:r>
      <w:proofErr w:type="spellStart"/>
      <w:r>
        <w:rPr>
          <w:rFonts w:ascii="Arial" w:eastAsia="Arial" w:hAnsi="Arial" w:cs="Arial"/>
          <w:sz w:val="24"/>
          <w:szCs w:val="24"/>
        </w:rPr>
        <w:t>discusses</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main</w:t>
      </w:r>
      <w:proofErr w:type="spellEnd"/>
      <w:r>
        <w:rPr>
          <w:rFonts w:ascii="Arial" w:eastAsia="Arial" w:hAnsi="Arial" w:cs="Arial"/>
          <w:sz w:val="24"/>
          <w:szCs w:val="24"/>
        </w:rPr>
        <w:t xml:space="preserve"> </w:t>
      </w:r>
      <w:proofErr w:type="spellStart"/>
      <w:r>
        <w:rPr>
          <w:rFonts w:ascii="Arial" w:eastAsia="Arial" w:hAnsi="Arial" w:cs="Arial"/>
          <w:sz w:val="24"/>
          <w:szCs w:val="24"/>
        </w:rPr>
        <w:t>challenges</w:t>
      </w:r>
      <w:proofErr w:type="spellEnd"/>
      <w:r>
        <w:rPr>
          <w:rFonts w:ascii="Arial" w:eastAsia="Arial" w:hAnsi="Arial" w:cs="Arial"/>
          <w:sz w:val="24"/>
          <w:szCs w:val="24"/>
        </w:rPr>
        <w:t xml:space="preserve"> </w:t>
      </w:r>
      <w:proofErr w:type="spellStart"/>
      <w:r>
        <w:rPr>
          <w:rFonts w:ascii="Arial" w:eastAsia="Arial" w:hAnsi="Arial" w:cs="Arial"/>
          <w:sz w:val="24"/>
          <w:szCs w:val="24"/>
        </w:rPr>
        <w:t>faced</w:t>
      </w:r>
      <w:proofErr w:type="spellEnd"/>
      <w:r>
        <w:rPr>
          <w:rFonts w:ascii="Arial" w:eastAsia="Arial" w:hAnsi="Arial" w:cs="Arial"/>
          <w:sz w:val="24"/>
          <w:szCs w:val="24"/>
        </w:rPr>
        <w:t xml:space="preserve"> </w:t>
      </w:r>
      <w:proofErr w:type="spellStart"/>
      <w:r>
        <w:rPr>
          <w:rFonts w:ascii="Arial" w:eastAsia="Arial" w:hAnsi="Arial" w:cs="Arial"/>
          <w:sz w:val="24"/>
          <w:szCs w:val="24"/>
        </w:rPr>
        <w:t>by</w:t>
      </w:r>
      <w:proofErr w:type="spellEnd"/>
      <w:r>
        <w:rPr>
          <w:rFonts w:ascii="Arial" w:eastAsia="Arial" w:hAnsi="Arial" w:cs="Arial"/>
          <w:sz w:val="24"/>
          <w:szCs w:val="24"/>
        </w:rPr>
        <w:t xml:space="preserve"> </w:t>
      </w:r>
      <w:proofErr w:type="spellStart"/>
      <w:r>
        <w:rPr>
          <w:rFonts w:ascii="Arial" w:eastAsia="Arial" w:hAnsi="Arial" w:cs="Arial"/>
          <w:sz w:val="24"/>
          <w:szCs w:val="24"/>
        </w:rPr>
        <w:t>contemporary</w:t>
      </w:r>
      <w:proofErr w:type="spellEnd"/>
      <w:r>
        <w:rPr>
          <w:rFonts w:ascii="Arial" w:eastAsia="Arial" w:hAnsi="Arial" w:cs="Arial"/>
          <w:sz w:val="24"/>
          <w:szCs w:val="24"/>
        </w:rPr>
        <w:t xml:space="preserve"> </w:t>
      </w:r>
      <w:proofErr w:type="spellStart"/>
      <w:r>
        <w:rPr>
          <w:rFonts w:ascii="Arial" w:eastAsia="Arial" w:hAnsi="Arial" w:cs="Arial"/>
          <w:sz w:val="24"/>
          <w:szCs w:val="24"/>
        </w:rPr>
        <w:t>education</w:t>
      </w:r>
      <w:proofErr w:type="spellEnd"/>
      <w:r>
        <w:rPr>
          <w:rFonts w:ascii="Arial" w:eastAsia="Arial" w:hAnsi="Arial" w:cs="Arial"/>
          <w:sz w:val="24"/>
          <w:szCs w:val="24"/>
        </w:rPr>
        <w:t xml:space="preserve">, </w:t>
      </w:r>
      <w:proofErr w:type="spellStart"/>
      <w:r>
        <w:rPr>
          <w:rFonts w:ascii="Arial" w:eastAsia="Arial" w:hAnsi="Arial" w:cs="Arial"/>
          <w:sz w:val="24"/>
          <w:szCs w:val="24"/>
        </w:rPr>
        <w:t>considering</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social, </w:t>
      </w:r>
      <w:proofErr w:type="spellStart"/>
      <w:r>
        <w:rPr>
          <w:rFonts w:ascii="Arial" w:eastAsia="Arial" w:hAnsi="Arial" w:cs="Arial"/>
          <w:sz w:val="24"/>
          <w:szCs w:val="24"/>
        </w:rPr>
        <w:t>technological</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political</w:t>
      </w:r>
      <w:proofErr w:type="spellEnd"/>
      <w:r>
        <w:rPr>
          <w:rFonts w:ascii="Arial" w:eastAsia="Arial" w:hAnsi="Arial" w:cs="Arial"/>
          <w:sz w:val="24"/>
          <w:szCs w:val="24"/>
        </w:rPr>
        <w:t xml:space="preserve"> </w:t>
      </w:r>
      <w:proofErr w:type="spellStart"/>
      <w:r>
        <w:rPr>
          <w:rFonts w:ascii="Arial" w:eastAsia="Arial" w:hAnsi="Arial" w:cs="Arial"/>
          <w:sz w:val="24"/>
          <w:szCs w:val="24"/>
        </w:rPr>
        <w:t>transformations</w:t>
      </w:r>
      <w:proofErr w:type="spellEnd"/>
      <w:r>
        <w:rPr>
          <w:rFonts w:ascii="Arial" w:eastAsia="Arial" w:hAnsi="Arial" w:cs="Arial"/>
          <w:sz w:val="24"/>
          <w:szCs w:val="24"/>
        </w:rPr>
        <w:t xml:space="preserve"> </w:t>
      </w:r>
      <w:proofErr w:type="spellStart"/>
      <w:r>
        <w:rPr>
          <w:rFonts w:ascii="Arial" w:eastAsia="Arial" w:hAnsi="Arial" w:cs="Arial"/>
          <w:sz w:val="24"/>
          <w:szCs w:val="24"/>
        </w:rPr>
        <w:t>that</w:t>
      </w:r>
      <w:proofErr w:type="spellEnd"/>
      <w:r>
        <w:rPr>
          <w:rFonts w:ascii="Arial" w:eastAsia="Arial" w:hAnsi="Arial" w:cs="Arial"/>
          <w:sz w:val="24"/>
          <w:szCs w:val="24"/>
        </w:rPr>
        <w:t xml:space="preserve"> </w:t>
      </w:r>
      <w:proofErr w:type="spellStart"/>
      <w:r>
        <w:rPr>
          <w:rFonts w:ascii="Arial" w:eastAsia="Arial" w:hAnsi="Arial" w:cs="Arial"/>
          <w:sz w:val="24"/>
          <w:szCs w:val="24"/>
        </w:rPr>
        <w:t>impact</w:t>
      </w:r>
      <w:proofErr w:type="spellEnd"/>
      <w:r>
        <w:rPr>
          <w:rFonts w:ascii="Arial" w:eastAsia="Arial" w:hAnsi="Arial" w:cs="Arial"/>
          <w:sz w:val="24"/>
          <w:szCs w:val="24"/>
        </w:rPr>
        <w:t xml:space="preserve"> </w:t>
      </w:r>
      <w:proofErr w:type="spellStart"/>
      <w:r>
        <w:rPr>
          <w:rFonts w:ascii="Arial" w:eastAsia="Arial" w:hAnsi="Arial" w:cs="Arial"/>
          <w:sz w:val="24"/>
          <w:szCs w:val="24"/>
        </w:rPr>
        <w:t>teaching</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learning processes, </w:t>
      </w:r>
      <w:proofErr w:type="spellStart"/>
      <w:r>
        <w:rPr>
          <w:rFonts w:ascii="Arial" w:eastAsia="Arial" w:hAnsi="Arial" w:cs="Arial"/>
          <w:sz w:val="24"/>
          <w:szCs w:val="24"/>
        </w:rPr>
        <w:t>school</w:t>
      </w:r>
      <w:proofErr w:type="spellEnd"/>
      <w:r>
        <w:rPr>
          <w:rFonts w:ascii="Arial" w:eastAsia="Arial" w:hAnsi="Arial" w:cs="Arial"/>
          <w:sz w:val="24"/>
          <w:szCs w:val="24"/>
        </w:rPr>
        <w:t xml:space="preserve"> </w:t>
      </w:r>
      <w:proofErr w:type="spellStart"/>
      <w:r>
        <w:rPr>
          <w:rFonts w:ascii="Arial" w:eastAsia="Arial" w:hAnsi="Arial" w:cs="Arial"/>
          <w:sz w:val="24"/>
          <w:szCs w:val="24"/>
        </w:rPr>
        <w:t>inclusion</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professional </w:t>
      </w:r>
      <w:proofErr w:type="spellStart"/>
      <w:r>
        <w:rPr>
          <w:rFonts w:ascii="Arial" w:eastAsia="Arial" w:hAnsi="Arial" w:cs="Arial"/>
          <w:sz w:val="24"/>
          <w:szCs w:val="24"/>
        </w:rPr>
        <w:t>identity</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teachers</w:t>
      </w:r>
      <w:proofErr w:type="spellEnd"/>
      <w:r>
        <w:rPr>
          <w:rFonts w:ascii="Arial" w:eastAsia="Arial" w:hAnsi="Arial" w:cs="Arial"/>
          <w:sz w:val="24"/>
          <w:szCs w:val="24"/>
        </w:rPr>
        <w:t xml:space="preserve">. </w:t>
      </w:r>
      <w:proofErr w:type="spellStart"/>
      <w:r>
        <w:rPr>
          <w:rFonts w:ascii="Arial" w:eastAsia="Arial" w:hAnsi="Arial" w:cs="Arial"/>
          <w:sz w:val="24"/>
          <w:szCs w:val="24"/>
        </w:rPr>
        <w:t>Based</w:t>
      </w:r>
      <w:proofErr w:type="spellEnd"/>
      <w:r>
        <w:rPr>
          <w:rFonts w:ascii="Arial" w:eastAsia="Arial" w:hAnsi="Arial" w:cs="Arial"/>
          <w:sz w:val="24"/>
          <w:szCs w:val="24"/>
        </w:rPr>
        <w:t xml:space="preserve"> </w:t>
      </w:r>
      <w:proofErr w:type="spellStart"/>
      <w:r>
        <w:rPr>
          <w:rFonts w:ascii="Arial" w:eastAsia="Arial" w:hAnsi="Arial" w:cs="Arial"/>
          <w:sz w:val="24"/>
          <w:szCs w:val="24"/>
        </w:rPr>
        <w:t>on</w:t>
      </w:r>
      <w:proofErr w:type="spellEnd"/>
      <w:r>
        <w:rPr>
          <w:rFonts w:ascii="Arial" w:eastAsia="Arial" w:hAnsi="Arial" w:cs="Arial"/>
          <w:sz w:val="24"/>
          <w:szCs w:val="24"/>
        </w:rPr>
        <w:t xml:space="preserve"> </w:t>
      </w:r>
      <w:proofErr w:type="spellStart"/>
      <w:r>
        <w:rPr>
          <w:rFonts w:ascii="Arial" w:eastAsia="Arial" w:hAnsi="Arial" w:cs="Arial"/>
          <w:sz w:val="24"/>
          <w:szCs w:val="24"/>
        </w:rPr>
        <w:t>an</w:t>
      </w:r>
      <w:proofErr w:type="spellEnd"/>
      <w:r>
        <w:rPr>
          <w:rFonts w:ascii="Arial" w:eastAsia="Arial" w:hAnsi="Arial" w:cs="Arial"/>
          <w:sz w:val="24"/>
          <w:szCs w:val="24"/>
        </w:rPr>
        <w:t xml:space="preserve"> </w:t>
      </w:r>
      <w:proofErr w:type="spellStart"/>
      <w:r>
        <w:rPr>
          <w:rFonts w:ascii="Arial" w:eastAsia="Arial" w:hAnsi="Arial" w:cs="Arial"/>
          <w:sz w:val="24"/>
          <w:szCs w:val="24"/>
        </w:rPr>
        <w:t>interpretative</w:t>
      </w:r>
      <w:proofErr w:type="spellEnd"/>
      <w:r>
        <w:rPr>
          <w:rFonts w:ascii="Arial" w:eastAsia="Arial" w:hAnsi="Arial" w:cs="Arial"/>
          <w:sz w:val="24"/>
          <w:szCs w:val="24"/>
        </w:rPr>
        <w:t xml:space="preserve"> </w:t>
      </w:r>
      <w:proofErr w:type="spellStart"/>
      <w:r>
        <w:rPr>
          <w:rFonts w:ascii="Arial" w:eastAsia="Arial" w:hAnsi="Arial" w:cs="Arial"/>
          <w:sz w:val="24"/>
          <w:szCs w:val="24"/>
        </w:rPr>
        <w:t>literature</w:t>
      </w:r>
      <w:proofErr w:type="spellEnd"/>
      <w:r>
        <w:rPr>
          <w:rFonts w:ascii="Arial" w:eastAsia="Arial" w:hAnsi="Arial" w:cs="Arial"/>
          <w:sz w:val="24"/>
          <w:szCs w:val="24"/>
        </w:rPr>
        <w:t xml:space="preserve"> review,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analysis</w:t>
      </w:r>
      <w:proofErr w:type="spellEnd"/>
      <w:r>
        <w:rPr>
          <w:rFonts w:ascii="Arial" w:eastAsia="Arial" w:hAnsi="Arial" w:cs="Arial"/>
          <w:sz w:val="24"/>
          <w:szCs w:val="24"/>
        </w:rPr>
        <w:t xml:space="preserve"> </w:t>
      </w:r>
      <w:proofErr w:type="spellStart"/>
      <w:r>
        <w:rPr>
          <w:rFonts w:ascii="Arial" w:eastAsia="Arial" w:hAnsi="Arial" w:cs="Arial"/>
          <w:sz w:val="24"/>
          <w:szCs w:val="24"/>
        </w:rPr>
        <w:t>addresses</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effects</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digital </w:t>
      </w:r>
      <w:proofErr w:type="spellStart"/>
      <w:r>
        <w:rPr>
          <w:rFonts w:ascii="Arial" w:eastAsia="Arial" w:hAnsi="Arial" w:cs="Arial"/>
          <w:sz w:val="24"/>
          <w:szCs w:val="24"/>
        </w:rPr>
        <w:t>technologies</w:t>
      </w:r>
      <w:proofErr w:type="spellEnd"/>
      <w:r>
        <w:rPr>
          <w:rFonts w:ascii="Arial" w:eastAsia="Arial" w:hAnsi="Arial" w:cs="Arial"/>
          <w:sz w:val="24"/>
          <w:szCs w:val="24"/>
        </w:rPr>
        <w:t xml:space="preserve"> </w:t>
      </w:r>
      <w:proofErr w:type="spellStart"/>
      <w:r>
        <w:rPr>
          <w:rFonts w:ascii="Arial" w:eastAsia="Arial" w:hAnsi="Arial" w:cs="Arial"/>
          <w:sz w:val="24"/>
          <w:szCs w:val="24"/>
        </w:rPr>
        <w:t>on</w:t>
      </w:r>
      <w:proofErr w:type="spellEnd"/>
      <w:r>
        <w:rPr>
          <w:rFonts w:ascii="Arial" w:eastAsia="Arial" w:hAnsi="Arial" w:cs="Arial"/>
          <w:sz w:val="24"/>
          <w:szCs w:val="24"/>
        </w:rPr>
        <w:t xml:space="preserve"> </w:t>
      </w:r>
      <w:proofErr w:type="spellStart"/>
      <w:r>
        <w:rPr>
          <w:rFonts w:ascii="Arial" w:eastAsia="Arial" w:hAnsi="Arial" w:cs="Arial"/>
          <w:sz w:val="24"/>
          <w:szCs w:val="24"/>
        </w:rPr>
        <w:t>teacher-student</w:t>
      </w:r>
      <w:proofErr w:type="spellEnd"/>
      <w:r>
        <w:rPr>
          <w:rFonts w:ascii="Arial" w:eastAsia="Arial" w:hAnsi="Arial" w:cs="Arial"/>
          <w:sz w:val="24"/>
          <w:szCs w:val="24"/>
        </w:rPr>
        <w:t xml:space="preserve"> </w:t>
      </w:r>
      <w:proofErr w:type="spellStart"/>
      <w:r>
        <w:rPr>
          <w:rFonts w:ascii="Arial" w:eastAsia="Arial" w:hAnsi="Arial" w:cs="Arial"/>
          <w:sz w:val="24"/>
          <w:szCs w:val="24"/>
        </w:rPr>
        <w:t>relationships</w:t>
      </w:r>
      <w:proofErr w:type="spellEnd"/>
      <w:r>
        <w:rPr>
          <w:rFonts w:ascii="Arial" w:eastAsia="Arial" w:hAnsi="Arial" w:cs="Arial"/>
          <w:sz w:val="24"/>
          <w:szCs w:val="24"/>
        </w:rPr>
        <w:t xml:space="preserve">, as </w:t>
      </w:r>
      <w:proofErr w:type="spellStart"/>
      <w:r>
        <w:rPr>
          <w:rFonts w:ascii="Arial" w:eastAsia="Arial" w:hAnsi="Arial" w:cs="Arial"/>
          <w:sz w:val="24"/>
          <w:szCs w:val="24"/>
        </w:rPr>
        <w:t>well</w:t>
      </w:r>
      <w:proofErr w:type="spellEnd"/>
      <w:r>
        <w:rPr>
          <w:rFonts w:ascii="Arial" w:eastAsia="Arial" w:hAnsi="Arial" w:cs="Arial"/>
          <w:sz w:val="24"/>
          <w:szCs w:val="24"/>
        </w:rPr>
        <w:t xml:space="preserve"> as </w:t>
      </w:r>
      <w:proofErr w:type="spellStart"/>
      <w:r>
        <w:rPr>
          <w:rFonts w:ascii="Arial" w:eastAsia="Arial" w:hAnsi="Arial" w:cs="Arial"/>
          <w:sz w:val="24"/>
          <w:szCs w:val="24"/>
        </w:rPr>
        <w:t>the</w:t>
      </w:r>
      <w:proofErr w:type="spellEnd"/>
      <w:r>
        <w:rPr>
          <w:rFonts w:ascii="Arial" w:eastAsia="Arial" w:hAnsi="Arial" w:cs="Arial"/>
          <w:sz w:val="24"/>
          <w:szCs w:val="24"/>
        </w:rPr>
        <w:t xml:space="preserve"> new </w:t>
      </w:r>
      <w:proofErr w:type="spellStart"/>
      <w:r>
        <w:rPr>
          <w:rFonts w:ascii="Arial" w:eastAsia="Arial" w:hAnsi="Arial" w:cs="Arial"/>
          <w:sz w:val="24"/>
          <w:szCs w:val="24"/>
        </w:rPr>
        <w:t>forms</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subjectivity</w:t>
      </w:r>
      <w:proofErr w:type="spellEnd"/>
      <w:r>
        <w:rPr>
          <w:rFonts w:ascii="Arial" w:eastAsia="Arial" w:hAnsi="Arial" w:cs="Arial"/>
          <w:sz w:val="24"/>
          <w:szCs w:val="24"/>
        </w:rPr>
        <w:t xml:space="preserve"> </w:t>
      </w:r>
      <w:proofErr w:type="spellStart"/>
      <w:r>
        <w:rPr>
          <w:rFonts w:ascii="Arial" w:eastAsia="Arial" w:hAnsi="Arial" w:cs="Arial"/>
          <w:sz w:val="24"/>
          <w:szCs w:val="24"/>
        </w:rPr>
        <w:t>emerging</w:t>
      </w:r>
      <w:proofErr w:type="spellEnd"/>
      <w:r>
        <w:rPr>
          <w:rFonts w:ascii="Arial" w:eastAsia="Arial" w:hAnsi="Arial" w:cs="Arial"/>
          <w:sz w:val="24"/>
          <w:szCs w:val="24"/>
        </w:rPr>
        <w:t xml:space="preserve"> </w:t>
      </w:r>
      <w:proofErr w:type="spellStart"/>
      <w:r>
        <w:rPr>
          <w:rFonts w:ascii="Arial" w:eastAsia="Arial" w:hAnsi="Arial" w:cs="Arial"/>
          <w:sz w:val="24"/>
          <w:szCs w:val="24"/>
        </w:rPr>
        <w:t>within</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school</w:t>
      </w:r>
      <w:proofErr w:type="spellEnd"/>
      <w:r>
        <w:rPr>
          <w:rFonts w:ascii="Arial" w:eastAsia="Arial" w:hAnsi="Arial" w:cs="Arial"/>
          <w:sz w:val="24"/>
          <w:szCs w:val="24"/>
        </w:rPr>
        <w:t xml:space="preserve"> </w:t>
      </w:r>
      <w:proofErr w:type="spellStart"/>
      <w:r>
        <w:rPr>
          <w:rFonts w:ascii="Arial" w:eastAsia="Arial" w:hAnsi="Arial" w:cs="Arial"/>
          <w:sz w:val="24"/>
          <w:szCs w:val="24"/>
        </w:rPr>
        <w:t>environment</w:t>
      </w:r>
      <w:proofErr w:type="spellEnd"/>
      <w:r>
        <w:rPr>
          <w:rFonts w:ascii="Arial" w:eastAsia="Arial" w:hAnsi="Arial" w:cs="Arial"/>
          <w:sz w:val="24"/>
          <w:szCs w:val="24"/>
        </w:rPr>
        <w:t xml:space="preserve">. </w:t>
      </w:r>
      <w:proofErr w:type="spellStart"/>
      <w:r>
        <w:rPr>
          <w:rFonts w:ascii="Arial" w:eastAsia="Arial" w:hAnsi="Arial" w:cs="Arial"/>
          <w:sz w:val="24"/>
          <w:szCs w:val="24"/>
        </w:rPr>
        <w:t>Furthermore</w:t>
      </w:r>
      <w:proofErr w:type="spellEnd"/>
      <w:r>
        <w:rPr>
          <w:rFonts w:ascii="Arial" w:eastAsia="Arial" w:hAnsi="Arial" w:cs="Arial"/>
          <w:sz w:val="24"/>
          <w:szCs w:val="24"/>
        </w:rPr>
        <w:t xml:space="preserve">, it problematizes </w:t>
      </w:r>
      <w:proofErr w:type="spellStart"/>
      <w:r>
        <w:rPr>
          <w:rFonts w:ascii="Arial" w:eastAsia="Arial" w:hAnsi="Arial" w:cs="Arial"/>
          <w:sz w:val="24"/>
          <w:szCs w:val="24"/>
        </w:rPr>
        <w:t>educational</w:t>
      </w:r>
      <w:proofErr w:type="spellEnd"/>
      <w:r>
        <w:rPr>
          <w:rFonts w:ascii="Arial" w:eastAsia="Arial" w:hAnsi="Arial" w:cs="Arial"/>
          <w:sz w:val="24"/>
          <w:szCs w:val="24"/>
        </w:rPr>
        <w:t xml:space="preserve"> </w:t>
      </w:r>
      <w:proofErr w:type="spellStart"/>
      <w:r>
        <w:rPr>
          <w:rFonts w:ascii="Arial" w:eastAsia="Arial" w:hAnsi="Arial" w:cs="Arial"/>
          <w:sz w:val="24"/>
          <w:szCs w:val="24"/>
        </w:rPr>
        <w:t>inclusion</w:t>
      </w:r>
      <w:proofErr w:type="spellEnd"/>
      <w:r>
        <w:rPr>
          <w:rFonts w:ascii="Arial" w:eastAsia="Arial" w:hAnsi="Arial" w:cs="Arial"/>
          <w:sz w:val="24"/>
          <w:szCs w:val="24"/>
        </w:rPr>
        <w:t xml:space="preserve"> </w:t>
      </w:r>
      <w:proofErr w:type="spellStart"/>
      <w:r>
        <w:rPr>
          <w:rFonts w:ascii="Arial" w:eastAsia="Arial" w:hAnsi="Arial" w:cs="Arial"/>
          <w:sz w:val="24"/>
          <w:szCs w:val="24"/>
        </w:rPr>
        <w:t>by</w:t>
      </w:r>
      <w:proofErr w:type="spellEnd"/>
      <w:r>
        <w:rPr>
          <w:rFonts w:ascii="Arial" w:eastAsia="Arial" w:hAnsi="Arial" w:cs="Arial"/>
          <w:sz w:val="24"/>
          <w:szCs w:val="24"/>
        </w:rPr>
        <w:t xml:space="preserve"> </w:t>
      </w:r>
      <w:proofErr w:type="spellStart"/>
      <w:r>
        <w:rPr>
          <w:rFonts w:ascii="Arial" w:eastAsia="Arial" w:hAnsi="Arial" w:cs="Arial"/>
          <w:sz w:val="24"/>
          <w:szCs w:val="24"/>
        </w:rPr>
        <w:t>highlighting</w:t>
      </w:r>
      <w:proofErr w:type="spellEnd"/>
      <w:r>
        <w:rPr>
          <w:rFonts w:ascii="Arial" w:eastAsia="Arial" w:hAnsi="Arial" w:cs="Arial"/>
          <w:sz w:val="24"/>
          <w:szCs w:val="24"/>
        </w:rPr>
        <w:t xml:space="preserve"> </w:t>
      </w:r>
      <w:proofErr w:type="spellStart"/>
      <w:r>
        <w:rPr>
          <w:rFonts w:ascii="Arial" w:eastAsia="Arial" w:hAnsi="Arial" w:cs="Arial"/>
          <w:sz w:val="24"/>
          <w:szCs w:val="24"/>
        </w:rPr>
        <w:t>ethical</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practical</w:t>
      </w:r>
      <w:proofErr w:type="spellEnd"/>
      <w:r>
        <w:rPr>
          <w:rFonts w:ascii="Arial" w:eastAsia="Arial" w:hAnsi="Arial" w:cs="Arial"/>
          <w:sz w:val="24"/>
          <w:szCs w:val="24"/>
        </w:rPr>
        <w:t xml:space="preserve"> </w:t>
      </w:r>
      <w:proofErr w:type="spellStart"/>
      <w:r>
        <w:rPr>
          <w:rFonts w:ascii="Arial" w:eastAsia="Arial" w:hAnsi="Arial" w:cs="Arial"/>
          <w:sz w:val="24"/>
          <w:szCs w:val="24"/>
        </w:rPr>
        <w:t>tensions</w:t>
      </w:r>
      <w:proofErr w:type="spellEnd"/>
      <w:r>
        <w:rPr>
          <w:rFonts w:ascii="Arial" w:eastAsia="Arial" w:hAnsi="Arial" w:cs="Arial"/>
          <w:sz w:val="24"/>
          <w:szCs w:val="24"/>
        </w:rPr>
        <w:t xml:space="preserve"> </w:t>
      </w:r>
      <w:proofErr w:type="spellStart"/>
      <w:r>
        <w:rPr>
          <w:rFonts w:ascii="Arial" w:eastAsia="Arial" w:hAnsi="Arial" w:cs="Arial"/>
          <w:sz w:val="24"/>
          <w:szCs w:val="24"/>
        </w:rPr>
        <w:t>that</w:t>
      </w:r>
      <w:proofErr w:type="spellEnd"/>
      <w:r>
        <w:rPr>
          <w:rFonts w:ascii="Arial" w:eastAsia="Arial" w:hAnsi="Arial" w:cs="Arial"/>
          <w:sz w:val="24"/>
          <w:szCs w:val="24"/>
        </w:rPr>
        <w:t xml:space="preserve"> </w:t>
      </w:r>
      <w:proofErr w:type="spellStart"/>
      <w:r>
        <w:rPr>
          <w:rFonts w:ascii="Arial" w:eastAsia="Arial" w:hAnsi="Arial" w:cs="Arial"/>
          <w:sz w:val="24"/>
          <w:szCs w:val="24"/>
        </w:rPr>
        <w:t>affect</w:t>
      </w:r>
      <w:proofErr w:type="spellEnd"/>
      <w:r>
        <w:rPr>
          <w:rFonts w:ascii="Arial" w:eastAsia="Arial" w:hAnsi="Arial" w:cs="Arial"/>
          <w:sz w:val="24"/>
          <w:szCs w:val="24"/>
        </w:rPr>
        <w:t xml:space="preserve"> </w:t>
      </w:r>
      <w:proofErr w:type="spellStart"/>
      <w:r>
        <w:rPr>
          <w:rFonts w:ascii="Arial" w:eastAsia="Arial" w:hAnsi="Arial" w:cs="Arial"/>
          <w:sz w:val="24"/>
          <w:szCs w:val="24"/>
        </w:rPr>
        <w:t>teaching</w:t>
      </w:r>
      <w:proofErr w:type="spellEnd"/>
      <w:r>
        <w:rPr>
          <w:rFonts w:ascii="Arial" w:eastAsia="Arial" w:hAnsi="Arial" w:cs="Arial"/>
          <w:sz w:val="24"/>
          <w:szCs w:val="24"/>
        </w:rPr>
        <w:t xml:space="preserve"> </w:t>
      </w:r>
      <w:proofErr w:type="spellStart"/>
      <w:r>
        <w:rPr>
          <w:rFonts w:ascii="Arial" w:eastAsia="Arial" w:hAnsi="Arial" w:cs="Arial"/>
          <w:sz w:val="24"/>
          <w:szCs w:val="24"/>
        </w:rPr>
        <w:t>practices</w:t>
      </w:r>
      <w:proofErr w:type="spellEnd"/>
      <w:r>
        <w:rPr>
          <w:rFonts w:ascii="Arial" w:eastAsia="Arial" w:hAnsi="Arial" w:cs="Arial"/>
          <w:sz w:val="24"/>
          <w:szCs w:val="24"/>
        </w:rPr>
        <w:t xml:space="preserve">, </w:t>
      </w:r>
      <w:proofErr w:type="spellStart"/>
      <w:r>
        <w:rPr>
          <w:rFonts w:ascii="Arial" w:eastAsia="Arial" w:hAnsi="Arial" w:cs="Arial"/>
          <w:sz w:val="24"/>
          <w:szCs w:val="24"/>
        </w:rPr>
        <w:t>especially</w:t>
      </w:r>
      <w:proofErr w:type="spellEnd"/>
      <w:r>
        <w:rPr>
          <w:rFonts w:ascii="Arial" w:eastAsia="Arial" w:hAnsi="Arial" w:cs="Arial"/>
          <w:sz w:val="24"/>
          <w:szCs w:val="24"/>
        </w:rPr>
        <w:t xml:space="preserve"> in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absence</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adequate</w:t>
      </w:r>
      <w:proofErr w:type="spellEnd"/>
      <w:r>
        <w:rPr>
          <w:rFonts w:ascii="Arial" w:eastAsia="Arial" w:hAnsi="Arial" w:cs="Arial"/>
          <w:sz w:val="24"/>
          <w:szCs w:val="24"/>
        </w:rPr>
        <w:t xml:space="preserve"> </w:t>
      </w:r>
      <w:proofErr w:type="spellStart"/>
      <w:r>
        <w:rPr>
          <w:rFonts w:ascii="Arial" w:eastAsia="Arial" w:hAnsi="Arial" w:cs="Arial"/>
          <w:sz w:val="24"/>
          <w:szCs w:val="24"/>
        </w:rPr>
        <w:t>institutional</w:t>
      </w:r>
      <w:proofErr w:type="spellEnd"/>
      <w:r>
        <w:rPr>
          <w:rFonts w:ascii="Arial" w:eastAsia="Arial" w:hAnsi="Arial" w:cs="Arial"/>
          <w:sz w:val="24"/>
          <w:szCs w:val="24"/>
        </w:rPr>
        <w:t xml:space="preserve"> </w:t>
      </w:r>
      <w:proofErr w:type="spellStart"/>
      <w:r>
        <w:rPr>
          <w:rFonts w:ascii="Arial" w:eastAsia="Arial" w:hAnsi="Arial" w:cs="Arial"/>
          <w:sz w:val="24"/>
          <w:szCs w:val="24"/>
        </w:rPr>
        <w:t>support</w:t>
      </w:r>
      <w:proofErr w:type="spellEnd"/>
      <w:r>
        <w:rPr>
          <w:rFonts w:ascii="Arial" w:eastAsia="Arial" w:hAnsi="Arial" w:cs="Arial"/>
          <w:sz w:val="24"/>
          <w:szCs w:val="24"/>
        </w:rPr>
        <w:t xml:space="preserve">. </w:t>
      </w:r>
      <w:proofErr w:type="spellStart"/>
      <w:r>
        <w:rPr>
          <w:rFonts w:ascii="Arial" w:eastAsia="Arial" w:hAnsi="Arial" w:cs="Arial"/>
          <w:sz w:val="24"/>
          <w:szCs w:val="24"/>
        </w:rPr>
        <w:t>Finally</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text</w:t>
      </w:r>
      <w:proofErr w:type="spellEnd"/>
      <w:r>
        <w:rPr>
          <w:rFonts w:ascii="Arial" w:eastAsia="Arial" w:hAnsi="Arial" w:cs="Arial"/>
          <w:sz w:val="24"/>
          <w:szCs w:val="24"/>
        </w:rPr>
        <w:t xml:space="preserve"> </w:t>
      </w:r>
      <w:proofErr w:type="spellStart"/>
      <w:r>
        <w:rPr>
          <w:rFonts w:ascii="Arial" w:eastAsia="Arial" w:hAnsi="Arial" w:cs="Arial"/>
          <w:sz w:val="24"/>
          <w:szCs w:val="24"/>
        </w:rPr>
        <w:t>analyzes</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shift </w:t>
      </w:r>
      <w:proofErr w:type="spellStart"/>
      <w:r>
        <w:rPr>
          <w:rFonts w:ascii="Arial" w:eastAsia="Arial" w:hAnsi="Arial" w:cs="Arial"/>
          <w:sz w:val="24"/>
          <w:szCs w:val="24"/>
        </w:rPr>
        <w:t>from</w:t>
      </w:r>
      <w:proofErr w:type="spellEnd"/>
      <w:r>
        <w:rPr>
          <w:rFonts w:ascii="Arial" w:eastAsia="Arial" w:hAnsi="Arial" w:cs="Arial"/>
          <w:sz w:val="24"/>
          <w:szCs w:val="24"/>
        </w:rPr>
        <w:t xml:space="preserve"> </w:t>
      </w:r>
      <w:proofErr w:type="spellStart"/>
      <w:r>
        <w:rPr>
          <w:rFonts w:ascii="Arial" w:eastAsia="Arial" w:hAnsi="Arial" w:cs="Arial"/>
          <w:sz w:val="24"/>
          <w:szCs w:val="24"/>
        </w:rPr>
        <w:t>teaching</w:t>
      </w:r>
      <w:proofErr w:type="spellEnd"/>
      <w:r>
        <w:rPr>
          <w:rFonts w:ascii="Arial" w:eastAsia="Arial" w:hAnsi="Arial" w:cs="Arial"/>
          <w:sz w:val="24"/>
          <w:szCs w:val="24"/>
        </w:rPr>
        <w:t xml:space="preserve"> as a </w:t>
      </w:r>
      <w:proofErr w:type="spellStart"/>
      <w:r>
        <w:rPr>
          <w:rFonts w:ascii="Arial" w:eastAsia="Arial" w:hAnsi="Arial" w:cs="Arial"/>
          <w:sz w:val="24"/>
          <w:szCs w:val="24"/>
        </w:rPr>
        <w:t>vocation</w:t>
      </w:r>
      <w:proofErr w:type="spellEnd"/>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its </w:t>
      </w:r>
      <w:proofErr w:type="spellStart"/>
      <w:r>
        <w:rPr>
          <w:rFonts w:ascii="Arial" w:eastAsia="Arial" w:hAnsi="Arial" w:cs="Arial"/>
          <w:sz w:val="24"/>
          <w:szCs w:val="24"/>
        </w:rPr>
        <w:t>professionalization</w:t>
      </w:r>
      <w:proofErr w:type="spellEnd"/>
      <w:r>
        <w:rPr>
          <w:rFonts w:ascii="Arial" w:eastAsia="Arial" w:hAnsi="Arial" w:cs="Arial"/>
          <w:sz w:val="24"/>
          <w:szCs w:val="24"/>
        </w:rPr>
        <w:t xml:space="preserve">, </w:t>
      </w:r>
      <w:proofErr w:type="spellStart"/>
      <w:r>
        <w:rPr>
          <w:rFonts w:ascii="Arial" w:eastAsia="Arial" w:hAnsi="Arial" w:cs="Arial"/>
          <w:sz w:val="24"/>
          <w:szCs w:val="24"/>
        </w:rPr>
        <w:t>reflecting</w:t>
      </w:r>
      <w:proofErr w:type="spellEnd"/>
      <w:r>
        <w:rPr>
          <w:rFonts w:ascii="Arial" w:eastAsia="Arial" w:hAnsi="Arial" w:cs="Arial"/>
          <w:sz w:val="24"/>
          <w:szCs w:val="24"/>
        </w:rPr>
        <w:t xml:space="preserve"> </w:t>
      </w:r>
      <w:proofErr w:type="spellStart"/>
      <w:r>
        <w:rPr>
          <w:rFonts w:ascii="Arial" w:eastAsia="Arial" w:hAnsi="Arial" w:cs="Arial"/>
          <w:sz w:val="24"/>
          <w:szCs w:val="24"/>
        </w:rPr>
        <w:t>on</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implications</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this</w:t>
      </w:r>
      <w:proofErr w:type="spellEnd"/>
      <w:r>
        <w:rPr>
          <w:rFonts w:ascii="Arial" w:eastAsia="Arial" w:hAnsi="Arial" w:cs="Arial"/>
          <w:sz w:val="24"/>
          <w:szCs w:val="24"/>
        </w:rPr>
        <w:t xml:space="preserve"> </w:t>
      </w:r>
      <w:proofErr w:type="spellStart"/>
      <w:r>
        <w:rPr>
          <w:rFonts w:ascii="Arial" w:eastAsia="Arial" w:hAnsi="Arial" w:cs="Arial"/>
          <w:sz w:val="24"/>
          <w:szCs w:val="24"/>
        </w:rPr>
        <w:t>change</w:t>
      </w:r>
      <w:proofErr w:type="spellEnd"/>
      <w:r>
        <w:rPr>
          <w:rFonts w:ascii="Arial" w:eastAsia="Arial" w:hAnsi="Arial" w:cs="Arial"/>
          <w:sz w:val="24"/>
          <w:szCs w:val="24"/>
        </w:rPr>
        <w:t xml:space="preserve"> for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appreciation</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w:t>
      </w:r>
      <w:proofErr w:type="spellStart"/>
      <w:r>
        <w:rPr>
          <w:rFonts w:ascii="Arial" w:eastAsia="Arial" w:hAnsi="Arial" w:cs="Arial"/>
          <w:sz w:val="24"/>
          <w:szCs w:val="24"/>
        </w:rPr>
        <w:t>teachers</w:t>
      </w:r>
      <w:proofErr w:type="spellEnd"/>
      <w:r>
        <w:rPr>
          <w:rFonts w:ascii="Arial" w:eastAsia="Arial" w:hAnsi="Arial" w:cs="Arial"/>
          <w:sz w:val="24"/>
          <w:szCs w:val="24"/>
        </w:rPr>
        <w:t xml:space="preser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their</w:t>
      </w:r>
      <w:proofErr w:type="spellEnd"/>
      <w:r>
        <w:rPr>
          <w:rFonts w:ascii="Arial" w:eastAsia="Arial" w:hAnsi="Arial" w:cs="Arial"/>
          <w:sz w:val="24"/>
          <w:szCs w:val="24"/>
        </w:rPr>
        <w:t xml:space="preserve"> </w:t>
      </w:r>
      <w:proofErr w:type="spellStart"/>
      <w:r>
        <w:rPr>
          <w:rFonts w:ascii="Arial" w:eastAsia="Arial" w:hAnsi="Arial" w:cs="Arial"/>
          <w:sz w:val="24"/>
          <w:szCs w:val="24"/>
        </w:rPr>
        <w:t>pedagogical</w:t>
      </w:r>
      <w:proofErr w:type="spellEnd"/>
      <w:r>
        <w:rPr>
          <w:rFonts w:ascii="Arial" w:eastAsia="Arial" w:hAnsi="Arial" w:cs="Arial"/>
          <w:sz w:val="24"/>
          <w:szCs w:val="24"/>
        </w:rPr>
        <w:t xml:space="preserve"> </w:t>
      </w:r>
      <w:proofErr w:type="spellStart"/>
      <w:r>
        <w:rPr>
          <w:rFonts w:ascii="Arial" w:eastAsia="Arial" w:hAnsi="Arial" w:cs="Arial"/>
          <w:sz w:val="24"/>
          <w:szCs w:val="24"/>
        </w:rPr>
        <w:t>autonomy</w:t>
      </w:r>
      <w:proofErr w:type="spellEnd"/>
      <w:r>
        <w:rPr>
          <w:rFonts w:ascii="Arial" w:eastAsia="Arial" w:hAnsi="Arial" w:cs="Arial"/>
          <w:sz w:val="24"/>
          <w:szCs w:val="24"/>
        </w:rPr>
        <w:t xml:space="preserve">. It </w:t>
      </w:r>
      <w:proofErr w:type="spellStart"/>
      <w:r>
        <w:rPr>
          <w:rFonts w:ascii="Arial" w:eastAsia="Arial" w:hAnsi="Arial" w:cs="Arial"/>
          <w:sz w:val="24"/>
          <w:szCs w:val="24"/>
        </w:rPr>
        <w:t>concludes</w:t>
      </w:r>
      <w:proofErr w:type="spellEnd"/>
      <w:r>
        <w:rPr>
          <w:rFonts w:ascii="Arial" w:eastAsia="Arial" w:hAnsi="Arial" w:cs="Arial"/>
          <w:sz w:val="24"/>
          <w:szCs w:val="24"/>
        </w:rPr>
        <w:t xml:space="preserve"> </w:t>
      </w:r>
      <w:proofErr w:type="spellStart"/>
      <w:r>
        <w:rPr>
          <w:rFonts w:ascii="Arial" w:eastAsia="Arial" w:hAnsi="Arial" w:cs="Arial"/>
          <w:sz w:val="24"/>
          <w:szCs w:val="24"/>
        </w:rPr>
        <w:t>that</w:t>
      </w:r>
      <w:proofErr w:type="spellEnd"/>
      <w:r>
        <w:rPr>
          <w:rFonts w:ascii="Arial" w:eastAsia="Arial" w:hAnsi="Arial" w:cs="Arial"/>
          <w:sz w:val="24"/>
          <w:szCs w:val="24"/>
        </w:rPr>
        <w:t xml:space="preserve"> it </w:t>
      </w:r>
      <w:proofErr w:type="spellStart"/>
      <w:r>
        <w:rPr>
          <w:rFonts w:ascii="Arial" w:eastAsia="Arial" w:hAnsi="Arial" w:cs="Arial"/>
          <w:sz w:val="24"/>
          <w:szCs w:val="24"/>
        </w:rPr>
        <w:t>is</w:t>
      </w:r>
      <w:proofErr w:type="spellEnd"/>
      <w:r>
        <w:rPr>
          <w:rFonts w:ascii="Arial" w:eastAsia="Arial" w:hAnsi="Arial" w:cs="Arial"/>
          <w:sz w:val="24"/>
          <w:szCs w:val="24"/>
        </w:rPr>
        <w:t xml:space="preserve"> </w:t>
      </w:r>
      <w:proofErr w:type="spellStart"/>
      <w:r>
        <w:rPr>
          <w:rFonts w:ascii="Arial" w:eastAsia="Arial" w:hAnsi="Arial" w:cs="Arial"/>
          <w:sz w:val="24"/>
          <w:szCs w:val="24"/>
        </w:rPr>
        <w:t>necessary</w:t>
      </w:r>
      <w:proofErr w:type="spellEnd"/>
      <w:r>
        <w:rPr>
          <w:rFonts w:ascii="Arial" w:eastAsia="Arial" w:hAnsi="Arial" w:cs="Arial"/>
          <w:sz w:val="24"/>
          <w:szCs w:val="24"/>
        </w:rPr>
        <w:t xml:space="preserve"> </w:t>
      </w:r>
      <w:proofErr w:type="spellStart"/>
      <w:r>
        <w:rPr>
          <w:rFonts w:ascii="Arial" w:eastAsia="Arial" w:hAnsi="Arial" w:cs="Arial"/>
          <w:sz w:val="24"/>
          <w:szCs w:val="24"/>
        </w:rPr>
        <w:t>to</w:t>
      </w:r>
      <w:proofErr w:type="spellEnd"/>
      <w:r>
        <w:rPr>
          <w:rFonts w:ascii="Arial" w:eastAsia="Arial" w:hAnsi="Arial" w:cs="Arial"/>
          <w:sz w:val="24"/>
          <w:szCs w:val="24"/>
        </w:rPr>
        <w:t xml:space="preserve"> </w:t>
      </w:r>
      <w:proofErr w:type="spellStart"/>
      <w:r>
        <w:rPr>
          <w:rFonts w:ascii="Arial" w:eastAsia="Arial" w:hAnsi="Arial" w:cs="Arial"/>
          <w:sz w:val="24"/>
          <w:szCs w:val="24"/>
        </w:rPr>
        <w:t>rethink</w:t>
      </w:r>
      <w:proofErr w:type="spellEnd"/>
      <w:r>
        <w:rPr>
          <w:rFonts w:ascii="Arial" w:eastAsia="Arial" w:hAnsi="Arial" w:cs="Arial"/>
          <w:sz w:val="24"/>
          <w:szCs w:val="24"/>
        </w:rPr>
        <w:t xml:space="preserve"> </w:t>
      </w:r>
      <w:proofErr w:type="spellStart"/>
      <w:r>
        <w:rPr>
          <w:rFonts w:ascii="Arial" w:eastAsia="Arial" w:hAnsi="Arial" w:cs="Arial"/>
          <w:sz w:val="24"/>
          <w:szCs w:val="24"/>
        </w:rPr>
        <w:t>educational</w:t>
      </w:r>
      <w:proofErr w:type="spellEnd"/>
      <w:r>
        <w:rPr>
          <w:rFonts w:ascii="Arial" w:eastAsia="Arial" w:hAnsi="Arial" w:cs="Arial"/>
          <w:sz w:val="24"/>
          <w:szCs w:val="24"/>
        </w:rPr>
        <w:t xml:space="preserve"> models, </w:t>
      </w:r>
      <w:proofErr w:type="spellStart"/>
      <w:r>
        <w:rPr>
          <w:rFonts w:ascii="Arial" w:eastAsia="Arial" w:hAnsi="Arial" w:cs="Arial"/>
          <w:sz w:val="24"/>
          <w:szCs w:val="24"/>
        </w:rPr>
        <w:t>incorporating</w:t>
      </w:r>
      <w:proofErr w:type="spellEnd"/>
      <w:r>
        <w:rPr>
          <w:rFonts w:ascii="Arial" w:eastAsia="Arial" w:hAnsi="Arial" w:cs="Arial"/>
          <w:sz w:val="24"/>
          <w:szCs w:val="24"/>
        </w:rPr>
        <w:t xml:space="preserve"> </w:t>
      </w:r>
      <w:proofErr w:type="spellStart"/>
      <w:r>
        <w:rPr>
          <w:rFonts w:ascii="Arial" w:eastAsia="Arial" w:hAnsi="Arial" w:cs="Arial"/>
          <w:sz w:val="24"/>
          <w:szCs w:val="24"/>
        </w:rPr>
        <w:t>practices</w:t>
      </w:r>
      <w:proofErr w:type="spellEnd"/>
      <w:r>
        <w:rPr>
          <w:rFonts w:ascii="Arial" w:eastAsia="Arial" w:hAnsi="Arial" w:cs="Arial"/>
          <w:sz w:val="24"/>
          <w:szCs w:val="24"/>
        </w:rPr>
        <w:t xml:space="preserve"> </w:t>
      </w:r>
      <w:proofErr w:type="spellStart"/>
      <w:r>
        <w:rPr>
          <w:rFonts w:ascii="Arial" w:eastAsia="Arial" w:hAnsi="Arial" w:cs="Arial"/>
          <w:sz w:val="24"/>
          <w:szCs w:val="24"/>
        </w:rPr>
        <w:t>that</w:t>
      </w:r>
      <w:proofErr w:type="spellEnd"/>
      <w:r>
        <w:rPr>
          <w:rFonts w:ascii="Arial" w:eastAsia="Arial" w:hAnsi="Arial" w:cs="Arial"/>
          <w:sz w:val="24"/>
          <w:szCs w:val="24"/>
        </w:rPr>
        <w:t xml:space="preserve"> </w:t>
      </w:r>
      <w:proofErr w:type="spellStart"/>
      <w:r>
        <w:rPr>
          <w:rFonts w:ascii="Arial" w:eastAsia="Arial" w:hAnsi="Arial" w:cs="Arial"/>
          <w:sz w:val="24"/>
          <w:szCs w:val="24"/>
        </w:rPr>
        <w:t>promote</w:t>
      </w:r>
      <w:proofErr w:type="spellEnd"/>
      <w:r>
        <w:rPr>
          <w:rFonts w:ascii="Arial" w:eastAsia="Arial" w:hAnsi="Arial" w:cs="Arial"/>
          <w:sz w:val="24"/>
          <w:szCs w:val="24"/>
        </w:rPr>
        <w:t xml:space="preserve"> </w:t>
      </w:r>
      <w:proofErr w:type="spellStart"/>
      <w:r>
        <w:rPr>
          <w:rFonts w:ascii="Arial" w:eastAsia="Arial" w:hAnsi="Arial" w:cs="Arial"/>
          <w:sz w:val="24"/>
          <w:szCs w:val="24"/>
        </w:rPr>
        <w:t>critical</w:t>
      </w:r>
      <w:proofErr w:type="spellEnd"/>
      <w:r>
        <w:rPr>
          <w:rFonts w:ascii="Arial" w:eastAsia="Arial" w:hAnsi="Arial" w:cs="Arial"/>
          <w:sz w:val="24"/>
          <w:szCs w:val="24"/>
        </w:rPr>
        <w:t xml:space="preserve">, inclusive, </w:t>
      </w:r>
      <w:proofErr w:type="spellStart"/>
      <w:r>
        <w:rPr>
          <w:rFonts w:ascii="Arial" w:eastAsia="Arial" w:hAnsi="Arial" w:cs="Arial"/>
          <w:sz w:val="24"/>
          <w:szCs w:val="24"/>
        </w:rPr>
        <w:t>and</w:t>
      </w:r>
      <w:proofErr w:type="spellEnd"/>
      <w:r>
        <w:rPr>
          <w:rFonts w:ascii="Arial" w:eastAsia="Arial" w:hAnsi="Arial" w:cs="Arial"/>
          <w:sz w:val="24"/>
          <w:szCs w:val="24"/>
        </w:rPr>
        <w:t xml:space="preserve"> </w:t>
      </w:r>
      <w:proofErr w:type="spellStart"/>
      <w:r>
        <w:rPr>
          <w:rFonts w:ascii="Arial" w:eastAsia="Arial" w:hAnsi="Arial" w:cs="Arial"/>
          <w:sz w:val="24"/>
          <w:szCs w:val="24"/>
        </w:rPr>
        <w:t>humanizing</w:t>
      </w:r>
      <w:proofErr w:type="spellEnd"/>
      <w:r>
        <w:rPr>
          <w:rFonts w:ascii="Arial" w:eastAsia="Arial" w:hAnsi="Arial" w:cs="Arial"/>
          <w:sz w:val="24"/>
          <w:szCs w:val="24"/>
        </w:rPr>
        <w:t xml:space="preserve"> </w:t>
      </w:r>
      <w:proofErr w:type="spellStart"/>
      <w:r>
        <w:rPr>
          <w:rFonts w:ascii="Arial" w:eastAsia="Arial" w:hAnsi="Arial" w:cs="Arial"/>
          <w:sz w:val="24"/>
          <w:szCs w:val="24"/>
        </w:rPr>
        <w:t>education</w:t>
      </w:r>
      <w:proofErr w:type="spellEnd"/>
      <w:r>
        <w:rPr>
          <w:rFonts w:ascii="Arial" w:eastAsia="Arial" w:hAnsi="Arial" w:cs="Arial"/>
          <w:sz w:val="24"/>
          <w:szCs w:val="24"/>
        </w:rPr>
        <w:t xml:space="preserve">, </w:t>
      </w:r>
      <w:proofErr w:type="spellStart"/>
      <w:r>
        <w:rPr>
          <w:rFonts w:ascii="Arial" w:eastAsia="Arial" w:hAnsi="Arial" w:cs="Arial"/>
          <w:sz w:val="24"/>
          <w:szCs w:val="24"/>
        </w:rPr>
        <w:t>aligned</w:t>
      </w:r>
      <w:proofErr w:type="spellEnd"/>
      <w:r>
        <w:rPr>
          <w:rFonts w:ascii="Arial" w:eastAsia="Arial" w:hAnsi="Arial" w:cs="Arial"/>
          <w:sz w:val="24"/>
          <w:szCs w:val="24"/>
        </w:rPr>
        <w:t xml:space="preserve"> </w:t>
      </w:r>
      <w:proofErr w:type="spellStart"/>
      <w:r>
        <w:rPr>
          <w:rFonts w:ascii="Arial" w:eastAsia="Arial" w:hAnsi="Arial" w:cs="Arial"/>
          <w:sz w:val="24"/>
          <w:szCs w:val="24"/>
        </w:rPr>
        <w:t>with</w:t>
      </w:r>
      <w:proofErr w:type="spellEnd"/>
      <w:r>
        <w:rPr>
          <w:rFonts w:ascii="Arial" w:eastAsia="Arial" w:hAnsi="Arial" w:cs="Arial"/>
          <w:sz w:val="24"/>
          <w:szCs w:val="24"/>
        </w:rPr>
        <w:t xml:space="preserve">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demands</w:t>
      </w:r>
      <w:proofErr w:type="spellEnd"/>
      <w:r>
        <w:rPr>
          <w:rFonts w:ascii="Arial" w:eastAsia="Arial" w:hAnsi="Arial" w:cs="Arial"/>
          <w:sz w:val="24"/>
          <w:szCs w:val="24"/>
        </w:rPr>
        <w:t xml:space="preserve"> </w:t>
      </w:r>
      <w:proofErr w:type="spellStart"/>
      <w:r>
        <w:rPr>
          <w:rFonts w:ascii="Arial" w:eastAsia="Arial" w:hAnsi="Arial" w:cs="Arial"/>
          <w:sz w:val="24"/>
          <w:szCs w:val="24"/>
        </w:rPr>
        <w:t>of</w:t>
      </w:r>
      <w:proofErr w:type="spellEnd"/>
      <w:r>
        <w:rPr>
          <w:rFonts w:ascii="Arial" w:eastAsia="Arial" w:hAnsi="Arial" w:cs="Arial"/>
          <w:sz w:val="24"/>
          <w:szCs w:val="24"/>
        </w:rPr>
        <w:t xml:space="preserve"> a </w:t>
      </w:r>
      <w:proofErr w:type="spellStart"/>
      <w:r>
        <w:rPr>
          <w:rFonts w:ascii="Arial" w:eastAsia="Arial" w:hAnsi="Arial" w:cs="Arial"/>
          <w:sz w:val="24"/>
          <w:szCs w:val="24"/>
        </w:rPr>
        <w:t>constantly</w:t>
      </w:r>
      <w:proofErr w:type="spellEnd"/>
      <w:r>
        <w:rPr>
          <w:rFonts w:ascii="Arial" w:eastAsia="Arial" w:hAnsi="Arial" w:cs="Arial"/>
          <w:sz w:val="24"/>
          <w:szCs w:val="24"/>
        </w:rPr>
        <w:t xml:space="preserve"> </w:t>
      </w:r>
      <w:proofErr w:type="spellStart"/>
      <w:r>
        <w:rPr>
          <w:rFonts w:ascii="Arial" w:eastAsia="Arial" w:hAnsi="Arial" w:cs="Arial"/>
          <w:sz w:val="24"/>
          <w:szCs w:val="24"/>
        </w:rPr>
        <w:t>changing</w:t>
      </w:r>
      <w:proofErr w:type="spellEnd"/>
      <w:r>
        <w:rPr>
          <w:rFonts w:ascii="Arial" w:eastAsia="Arial" w:hAnsi="Arial" w:cs="Arial"/>
          <w:sz w:val="24"/>
          <w:szCs w:val="24"/>
        </w:rPr>
        <w:t xml:space="preserve"> </w:t>
      </w:r>
      <w:proofErr w:type="spellStart"/>
      <w:r>
        <w:rPr>
          <w:rFonts w:ascii="Arial" w:eastAsia="Arial" w:hAnsi="Arial" w:cs="Arial"/>
          <w:sz w:val="24"/>
          <w:szCs w:val="24"/>
        </w:rPr>
        <w:t>society</w:t>
      </w:r>
      <w:proofErr w:type="spellEnd"/>
      <w:r>
        <w:rPr>
          <w:rFonts w:ascii="Arial" w:eastAsia="Arial" w:hAnsi="Arial" w:cs="Arial"/>
          <w:sz w:val="24"/>
          <w:szCs w:val="24"/>
        </w:rPr>
        <w:t>.</w:t>
      </w:r>
    </w:p>
    <w:p w14:paraId="0FD88A5C" w14:textId="77777777" w:rsidR="00370202" w:rsidRDefault="00370202">
      <w:pPr>
        <w:spacing w:after="0" w:line="480" w:lineRule="auto"/>
        <w:jc w:val="both"/>
        <w:rPr>
          <w:rFonts w:ascii="Arial" w:eastAsia="Arial" w:hAnsi="Arial" w:cs="Arial"/>
          <w:sz w:val="24"/>
          <w:szCs w:val="24"/>
        </w:rPr>
      </w:pPr>
    </w:p>
    <w:p w14:paraId="014096CF" w14:textId="77777777" w:rsidR="00370202" w:rsidRDefault="001047CC">
      <w:pPr>
        <w:spacing w:after="0" w:line="480" w:lineRule="auto"/>
        <w:jc w:val="both"/>
        <w:rPr>
          <w:rFonts w:ascii="Arial" w:eastAsia="Arial" w:hAnsi="Arial" w:cs="Arial"/>
          <w:sz w:val="24"/>
          <w:szCs w:val="24"/>
        </w:rPr>
      </w:pPr>
      <w:r>
        <w:rPr>
          <w:rFonts w:ascii="Arial" w:eastAsia="Arial" w:hAnsi="Arial" w:cs="Arial"/>
          <w:b/>
          <w:bCs/>
          <w:sz w:val="24"/>
          <w:szCs w:val="24"/>
        </w:rPr>
        <w:lastRenderedPageBreak/>
        <w:t>Keywords:</w:t>
      </w:r>
      <w:r>
        <w:rPr>
          <w:rFonts w:ascii="Arial" w:eastAsia="Arial" w:hAnsi="Arial" w:cs="Arial"/>
          <w:sz w:val="24"/>
          <w:szCs w:val="24"/>
        </w:rPr>
        <w:t xml:space="preserve"> </w:t>
      </w:r>
      <w:proofErr w:type="spellStart"/>
      <w:r>
        <w:rPr>
          <w:rFonts w:ascii="Arial" w:eastAsia="Arial" w:hAnsi="Arial" w:cs="Arial"/>
          <w:sz w:val="24"/>
          <w:szCs w:val="24"/>
        </w:rPr>
        <w:t>Contemporary</w:t>
      </w:r>
      <w:proofErr w:type="spellEnd"/>
      <w:r>
        <w:rPr>
          <w:rFonts w:ascii="Arial" w:eastAsia="Arial" w:hAnsi="Arial" w:cs="Arial"/>
          <w:sz w:val="24"/>
          <w:szCs w:val="24"/>
        </w:rPr>
        <w:t xml:space="preserve"> </w:t>
      </w:r>
      <w:proofErr w:type="spellStart"/>
      <w:r>
        <w:rPr>
          <w:rFonts w:ascii="Arial" w:eastAsia="Arial" w:hAnsi="Arial" w:cs="Arial"/>
          <w:sz w:val="24"/>
          <w:szCs w:val="24"/>
        </w:rPr>
        <w:t>education</w:t>
      </w:r>
      <w:proofErr w:type="spellEnd"/>
      <w:r>
        <w:rPr>
          <w:rFonts w:ascii="Arial" w:eastAsia="Arial" w:hAnsi="Arial" w:cs="Arial"/>
          <w:sz w:val="24"/>
          <w:szCs w:val="24"/>
        </w:rPr>
        <w:t xml:space="preserve">. </w:t>
      </w:r>
      <w:proofErr w:type="spellStart"/>
      <w:r>
        <w:rPr>
          <w:rFonts w:ascii="Arial" w:eastAsia="Arial" w:hAnsi="Arial" w:cs="Arial"/>
          <w:sz w:val="24"/>
          <w:szCs w:val="24"/>
        </w:rPr>
        <w:t>Subjectivity</w:t>
      </w:r>
      <w:proofErr w:type="spellEnd"/>
      <w:r>
        <w:rPr>
          <w:rFonts w:ascii="Arial" w:eastAsia="Arial" w:hAnsi="Arial" w:cs="Arial"/>
          <w:sz w:val="24"/>
          <w:szCs w:val="24"/>
        </w:rPr>
        <w:t xml:space="preserve">. </w:t>
      </w:r>
      <w:proofErr w:type="spellStart"/>
      <w:r>
        <w:rPr>
          <w:rFonts w:ascii="Arial" w:eastAsia="Arial" w:hAnsi="Arial" w:cs="Arial"/>
          <w:sz w:val="24"/>
          <w:szCs w:val="24"/>
        </w:rPr>
        <w:t>Teaching</w:t>
      </w:r>
      <w:proofErr w:type="spellEnd"/>
      <w:r>
        <w:rPr>
          <w:rFonts w:ascii="Arial" w:eastAsia="Arial" w:hAnsi="Arial" w:cs="Arial"/>
          <w:sz w:val="24"/>
          <w:szCs w:val="24"/>
        </w:rPr>
        <w:t xml:space="preserve"> </w:t>
      </w:r>
      <w:proofErr w:type="spellStart"/>
      <w:r>
        <w:rPr>
          <w:rFonts w:ascii="Arial" w:eastAsia="Arial" w:hAnsi="Arial" w:cs="Arial"/>
          <w:sz w:val="24"/>
          <w:szCs w:val="24"/>
        </w:rPr>
        <w:t>identity</w:t>
      </w:r>
      <w:proofErr w:type="spellEnd"/>
      <w:r>
        <w:rPr>
          <w:rFonts w:ascii="Arial" w:eastAsia="Arial" w:hAnsi="Arial" w:cs="Arial"/>
          <w:sz w:val="24"/>
          <w:szCs w:val="24"/>
        </w:rPr>
        <w:t>.</w:t>
      </w:r>
    </w:p>
    <w:p w14:paraId="25E63D32" w14:textId="77777777" w:rsidR="00370202" w:rsidRDefault="00370202">
      <w:pPr>
        <w:spacing w:after="0" w:line="480" w:lineRule="auto"/>
        <w:rPr>
          <w:rFonts w:ascii="Arial" w:eastAsia="Arial" w:hAnsi="Arial" w:cs="Arial"/>
          <w:b/>
          <w:bCs/>
          <w:sz w:val="24"/>
          <w:szCs w:val="24"/>
        </w:rPr>
      </w:pPr>
    </w:p>
    <w:p w14:paraId="0CC67146" w14:textId="77777777" w:rsidR="00370202" w:rsidRDefault="001047CC">
      <w:pPr>
        <w:spacing w:after="0" w:line="480" w:lineRule="auto"/>
        <w:rPr>
          <w:rFonts w:ascii="Arial" w:eastAsia="Arial" w:hAnsi="Arial" w:cs="Arial"/>
          <w:b/>
          <w:bCs/>
          <w:sz w:val="24"/>
          <w:szCs w:val="24"/>
        </w:rPr>
      </w:pPr>
      <w:r>
        <w:rPr>
          <w:rFonts w:ascii="Arial" w:eastAsia="Arial" w:hAnsi="Arial" w:cs="Arial"/>
          <w:b/>
          <w:bCs/>
          <w:sz w:val="24"/>
          <w:szCs w:val="24"/>
        </w:rPr>
        <w:t>INTRODUÇÃO</w:t>
      </w:r>
    </w:p>
    <w:p w14:paraId="33F43BB2"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educação contemporânea enfrenta desafios significativos diante das transformações sociais, tecnológicas e políticas que reconfiguram os processos de ensino-aprendizagem e a organização das instituições escolares. A presença das novas tecnologias, a ampliação das políticas de inclusão e as mudanças na identidade profissional docente são alguns dos fatores que impactam diretamente o ambiente educacional. Essas transformações exigem um olhar atento para que se possa compreender como influenciam a subjetividade dos alunos, a prática pedagógica dos professores e a estrutura da escola enquanto instituição formadora.</w:t>
      </w:r>
    </w:p>
    <w:p w14:paraId="3BA2F2C5"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Neste contexto, este artigo tem como objetivo analisar três aspectos centrais que permeiam a educação na atualidade. Primeiramente, busca-se compreender como as mudanças sociais e tecnológicas afetam os processos de ensino-aprendizagem, transformando a relação entre professores e alunos e a maneira como o conhecimento é construído e mediado no ambiente escolar. Em seguida, discute-se os desafios da inclusão escolar, refletindo sobre os impactos desse processo na subjetividade dos estudantes e dos educadores, bem como as dificuldades enfrentadas na efetivação de uma educação verdadeiramente inclusiva. Por fim, investiga-se a transição da vocação docente para uma perspectiva de profissionalização, analisando as implicações dessa mudança na identidade e no papel dos professores dentro do sistema educacional.</w:t>
      </w:r>
    </w:p>
    <w:p w14:paraId="75483C41"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problemática central que norteia este estudo é: como as transformações contemporâneas impactam a subjetividade dos alunos, a inclusão educacional e a identidade profissional dos professores? A relevância dessa discussão justifica-se pela necessidade de compreender os desafios emergentes na educação, contribuindo para reflexões que possam subsidiar práticas pedagógicas mais eficazes e humanizadas. Além disso, ao problematizar as relações entre subjetividade, inclusão e profissionalização, o artigo pretende fomentar um debate sobre os rumos da educação diante das exigências de um mundo em constante mudança.</w:t>
      </w:r>
    </w:p>
    <w:p w14:paraId="6F3C731C"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Para responder a essas questões, a pesquisa foi conduzida a partir de uma revisão bibliográfica interpretativa, com a utilização de artigos e livros que abordam os temas centrais do estudo. Dessa forma, o artigo estrutura-se em três partes: a primeira </w:t>
      </w:r>
      <w:r>
        <w:rPr>
          <w:rFonts w:ascii="Arial" w:eastAsia="Arial" w:hAnsi="Arial" w:cs="Arial"/>
          <w:sz w:val="24"/>
          <w:szCs w:val="24"/>
        </w:rPr>
        <w:lastRenderedPageBreak/>
        <w:t>discute a influência das novas subjetividades e da tecnologia na aprendizagem; a segunda aborda os desafios da inclusão escolar e suas implicações na prática pedagógica e a terceira examina as mudanças na identidade profissional do professor, considerando a transição da vocação para a profissionalização no atual contexto educacional.</w:t>
      </w:r>
    </w:p>
    <w:p w14:paraId="7D18EFC8" w14:textId="77777777" w:rsidR="00370202" w:rsidRDefault="00370202">
      <w:pPr>
        <w:spacing w:after="0" w:line="480" w:lineRule="auto"/>
        <w:rPr>
          <w:rFonts w:ascii="Arial" w:eastAsia="Arial" w:hAnsi="Arial" w:cs="Arial"/>
        </w:rPr>
      </w:pPr>
    </w:p>
    <w:p w14:paraId="40B3BA2D" w14:textId="77777777" w:rsidR="00370202" w:rsidRDefault="001047CC">
      <w:pPr>
        <w:spacing w:after="0" w:line="480" w:lineRule="auto"/>
        <w:rPr>
          <w:rFonts w:ascii="Arial" w:eastAsia="Arial" w:hAnsi="Arial" w:cs="Arial"/>
          <w:b/>
          <w:bCs/>
          <w:sz w:val="24"/>
          <w:szCs w:val="24"/>
        </w:rPr>
      </w:pPr>
      <w:r>
        <w:rPr>
          <w:rFonts w:ascii="Arial" w:eastAsia="Arial" w:hAnsi="Arial" w:cs="Arial"/>
          <w:b/>
          <w:bCs/>
          <w:sz w:val="24"/>
          <w:szCs w:val="24"/>
        </w:rPr>
        <w:t>SUBJETIVIDADE E ENSINO-APRENDIZAGEM NA CONTEMPORANEIDADE</w:t>
      </w:r>
    </w:p>
    <w:p w14:paraId="49FA2730" w14:textId="77777777" w:rsidR="00370202" w:rsidRDefault="00370202">
      <w:pPr>
        <w:spacing w:after="0" w:line="480" w:lineRule="auto"/>
        <w:ind w:firstLine="851"/>
        <w:jc w:val="both"/>
        <w:rPr>
          <w:rFonts w:ascii="Arial" w:eastAsia="Arial" w:hAnsi="Arial" w:cs="Arial"/>
          <w:sz w:val="24"/>
          <w:szCs w:val="24"/>
        </w:rPr>
      </w:pPr>
    </w:p>
    <w:p w14:paraId="1CBE4A49"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educação contemporânea passa por profundas transformações em decorrência das mudanças tecnológicas e sociais que redefinem os processos de ensino-aprendizagem. A inserção massiva das novas tecnologias na sociedade alterou a maneira como os indivíduos interagem, aprendem e constroem conhecimento, gerando impactos diretos na subjetividade dos alunos e na organização curricular das instituições de ensino. </w:t>
      </w:r>
    </w:p>
    <w:p w14:paraId="4B3490EF"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Como aponta Prata (2005, p. 108), a subjetividade não é um dado fixo, mas um processo em constante transformação, atravessado pelas relações de poder e pelas configurações sociais do tempo presente. A escola, sendo uma instituição central na produção da subjetividade, tem seu funcionamento impactado pelas novas formas de mediação digital, que desafiam os modelos tradicionais de ensino e aprendizagem.</w:t>
      </w:r>
    </w:p>
    <w:p w14:paraId="3AA9066D"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Além disso, observa-se uma crescente dissolução da autoridade do professor, uma vez que os estudantes, imersos na era da hiperconectividade, acessam múltiplas fontes de informação. Esse fato desloca a centralidade do conhecimento antes detida pelo docente, “o professor já não é mais o único detentor do saber e vê seu papel transformado diante de um cenário no qual os alunos acessam informações de forma instantânea e descentralizada” (</w:t>
      </w:r>
      <w:proofErr w:type="spellStart"/>
      <w:r>
        <w:rPr>
          <w:rFonts w:ascii="Arial" w:eastAsia="Arial" w:hAnsi="Arial" w:cs="Arial"/>
          <w:sz w:val="24"/>
          <w:szCs w:val="24"/>
        </w:rPr>
        <w:t>Sibilia</w:t>
      </w:r>
      <w:proofErr w:type="spellEnd"/>
      <w:r>
        <w:rPr>
          <w:rFonts w:ascii="Arial" w:eastAsia="Arial" w:hAnsi="Arial" w:cs="Arial"/>
          <w:sz w:val="24"/>
          <w:szCs w:val="24"/>
        </w:rPr>
        <w:t xml:space="preserve">, 2012, p. 32). Esse fenômeno está diretamente relacionado ao que </w:t>
      </w:r>
      <w:proofErr w:type="spellStart"/>
      <w:r>
        <w:rPr>
          <w:rFonts w:ascii="Arial" w:eastAsia="Arial" w:hAnsi="Arial" w:cs="Arial"/>
          <w:sz w:val="24"/>
          <w:szCs w:val="24"/>
        </w:rPr>
        <w:t>Bauman</w:t>
      </w:r>
      <w:proofErr w:type="spellEnd"/>
      <w:r>
        <w:rPr>
          <w:rFonts w:ascii="Arial" w:eastAsia="Arial" w:hAnsi="Arial" w:cs="Arial"/>
          <w:sz w:val="24"/>
          <w:szCs w:val="24"/>
        </w:rPr>
        <w:t xml:space="preserve"> (2001) define como modernidade líquida, um contexto em que as estruturas sociais </w:t>
      </w:r>
      <w:proofErr w:type="gramStart"/>
      <w:r>
        <w:rPr>
          <w:rFonts w:ascii="Arial" w:eastAsia="Arial" w:hAnsi="Arial" w:cs="Arial"/>
          <w:sz w:val="24"/>
          <w:szCs w:val="24"/>
        </w:rPr>
        <w:t>tornam-se</w:t>
      </w:r>
      <w:proofErr w:type="gramEnd"/>
      <w:r>
        <w:rPr>
          <w:rFonts w:ascii="Arial" w:eastAsia="Arial" w:hAnsi="Arial" w:cs="Arial"/>
          <w:sz w:val="24"/>
          <w:szCs w:val="24"/>
        </w:rPr>
        <w:t xml:space="preserve"> mais efêmeras e flexíveis, o que inclui a própria noção de autoridade no ambiente educacional.</w:t>
      </w:r>
    </w:p>
    <w:p w14:paraId="01686921"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tecnologia tem um papel cada vez mais central na educação, ela afeta a maneira como o conhecimento é transmitido e assimilado pelos alunos, “as novas tecnologias na contemporaneidade produzem novas subjetividades, pois transformam a forma como os indivíduos apreendem a realidade e se relacionam com o ensino” </w:t>
      </w:r>
      <w:r>
        <w:rPr>
          <w:rFonts w:ascii="Arial" w:eastAsia="Arial" w:hAnsi="Arial" w:cs="Arial"/>
          <w:sz w:val="24"/>
          <w:szCs w:val="24"/>
        </w:rPr>
        <w:lastRenderedPageBreak/>
        <w:t>(Rosa; Rufino, 2021, p. 62). Essa mudança ocorre porque a mediação tecnológica possibilita maior autonomia na busca por informações, ao mesmo tempo que altera a relação dos estudantes com os professores e os conteúdos acadêmicos. Com isso, a escola enfrenta uma crise de identidade, já o modelo de ensino tradicional entra em conflito com a cultura digital (</w:t>
      </w:r>
      <w:proofErr w:type="spellStart"/>
      <w:r>
        <w:rPr>
          <w:rFonts w:ascii="Arial" w:eastAsia="Arial" w:hAnsi="Arial" w:cs="Arial"/>
          <w:sz w:val="24"/>
          <w:szCs w:val="24"/>
        </w:rPr>
        <w:t>Sibilia</w:t>
      </w:r>
      <w:proofErr w:type="spellEnd"/>
      <w:r>
        <w:rPr>
          <w:rFonts w:ascii="Arial" w:eastAsia="Arial" w:hAnsi="Arial" w:cs="Arial"/>
          <w:sz w:val="24"/>
          <w:szCs w:val="24"/>
        </w:rPr>
        <w:t>, 2012). Esse cenário revela um paradoxo: ao mesmo tempo em que a tecnologia amplia as possibilidades de aprendizado, ela também impõe desafios à concentração, à profundidade da análise e à forma como o conhecimento é estruturado.</w:t>
      </w:r>
    </w:p>
    <w:p w14:paraId="1D95CF30"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Com a ampliação do acesso à informação, por meio das tecnologias digitais, o papel do professor como detentor do conhecimento tem sido, progressivamente, questionado. Rosa e Rufino (2021, p. 63) observam que “a relação entre docentes e estudantes mudou, significativamente, pois o conhecimento antes transmitido de maneira hierárquica agora circula de forma descentralizada”, as informações estão disponíveis em diferentes plataformas e o aluno passa a desempenhar um papel mais ativo na busca por elas. </w:t>
      </w:r>
    </w:p>
    <w:p w14:paraId="173A20C2"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No entanto, a descentralização do conhecimento promovida pelas novas tecnologias não implica, necessariamente, em uma democratização da aprendizagem. Como destaca Prata (2005, p. 110), “a escola sempre foi um espaço de produção da subjetividade, moldando comportamentos e disciplinando os corpos”. Mesmo em um contexto marcado pela hiperconectividade, permanece a necessidade de um ambiente educativo estruturado que favoreça a construção de saberes críticos. Nesse sentido, embora a autoridade do professor seja frequentemente questionada, seu papel continua sendo fundamental para mediar o acesso ao conhecimento e orientar os estudantes diante da sobrecarga de informações disponíveis.</w:t>
      </w:r>
    </w:p>
    <w:p w14:paraId="2C0779EC"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As novas formas de subjetivação, no contexto escolar, também geram impactos na configuração curricular e nas práticas pedagógicas. Conforme aponta </w:t>
      </w:r>
      <w:proofErr w:type="spellStart"/>
      <w:r>
        <w:rPr>
          <w:rFonts w:ascii="Arial" w:eastAsia="Arial" w:hAnsi="Arial" w:cs="Arial"/>
          <w:sz w:val="24"/>
          <w:szCs w:val="24"/>
        </w:rPr>
        <w:t>Sibilia</w:t>
      </w:r>
      <w:proofErr w:type="spellEnd"/>
      <w:r>
        <w:rPr>
          <w:rFonts w:ascii="Arial" w:eastAsia="Arial" w:hAnsi="Arial" w:cs="Arial"/>
          <w:sz w:val="24"/>
          <w:szCs w:val="24"/>
        </w:rPr>
        <w:t xml:space="preserve"> (2012, p. 55), “a educação tradicional baseava-se em uma lógica disciplinar, na qual o conhecimento era transmitido de forma linear e progressiva; hoje, essa lógica é confrontada pela multiplicidade de saberes acessíveis na internet e pelo caráter fragmentado da aprendizagem digital”. Esse embate entre a estrutura curricular tradicional e as novas formas de acesso ao conhecimento impõe desafios tanto para os professores quanto para os alunos, uma vez que as metodologias precisam ser adaptadas para garantir um ensino que seja ao mesmo tempo inovador e profundo.</w:t>
      </w:r>
    </w:p>
    <w:p w14:paraId="35DD20D9"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lastRenderedPageBreak/>
        <w:t xml:space="preserve">A subjetividade dos estudantes está em constante transformação, influenciada pelo ambiente digital e pelas mudanças nos processos de socialização, assim as novas tecnologias modificam a forma como os alunos aprendem, suas identidades e relações interpessoais (Rosa; Rufino, 2021). Nesse sentido, </w:t>
      </w:r>
      <w:proofErr w:type="spellStart"/>
      <w:r>
        <w:rPr>
          <w:rFonts w:ascii="Arial" w:eastAsia="Arial" w:hAnsi="Arial" w:cs="Arial"/>
          <w:sz w:val="24"/>
          <w:szCs w:val="24"/>
        </w:rPr>
        <w:t>Sibilia</w:t>
      </w:r>
      <w:proofErr w:type="spellEnd"/>
      <w:r>
        <w:rPr>
          <w:rFonts w:ascii="Arial" w:eastAsia="Arial" w:hAnsi="Arial" w:cs="Arial"/>
          <w:sz w:val="24"/>
          <w:szCs w:val="24"/>
        </w:rPr>
        <w:t xml:space="preserve"> (2012, p. 52) argumenta que “o modelo tradicional da escola, baseado na disciplina e na transmissão linear do conhecimento, não dialoga com a fluidez da cultura digital”. Essa contradição evidencia a necessidade de repensar as diretrizes curriculares, incorporando metodologias que incentivem a construção do conhecimento de forma crítica e significativa.</w:t>
      </w:r>
    </w:p>
    <w:p w14:paraId="7F41F94F"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Prata (2005, p. 112) afirma que “a escola continua sendo um espaço fundamental na formação dos sujeitos, pois mesmo em um contexto de dispersão e acesso ilimitado à informação, é necessário um ambiente que proporcione a mediação adequada entre o conhecimento e a experiência dos alunos”. Dessa forma, os desafios contemporâneos da educação não devem ser interpretados como um colapso do ensino tradicional, mas sim como um chamado à adaptação das práticas pedagógicas. O objetivo deve ser equilibrar inovação e tradição, a fim de garantir que as mudanças curriculares acompanhem as transformações sociais sem comprometer a qualidade do aprendizado.</w:t>
      </w:r>
    </w:p>
    <w:p w14:paraId="2106575E"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educação enfrenta, na contemporaneidade, o desafio de lidar com novas formas de subjetivação dos alunos, a dissolução da autoridade do professor e a necessidade de adaptação dos currículos escolares. O impacto das novas tecnologias no ensino-aprendizagem exige uma reflexão sobre como utilizar essas ferramentas de maneira produtiva, sem que elas resultem na fragmentação do conhecimento e na perda da atenção dos estudantes. Além disso, a escola precisa ressignificar seu papel frente à hiperconectividade, reconhecendo que o acesso à informação não substitui a mediação pedagógica qualificada.</w:t>
      </w:r>
    </w:p>
    <w:p w14:paraId="0B527ACE"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Para isso, é fundamental que as políticas educacionais promovam a formação continuada dos professores, fornecendo-lhes subsídios para lidar com as mudanças nas formas de aprendizagem e na subjetividade dos alunos. Por fim, a reformulação dos currículos deve considerar as novas demandas sociais e culturais, integrando metodologias que estimulem a autonomia dos estudantes sem perder de vista a necessidade de um ensino crítico e estruturado. A educação, portanto, deve se adaptar às transformações do mundo contemporâneo para que a escola continue </w:t>
      </w:r>
      <w:r>
        <w:rPr>
          <w:rFonts w:ascii="Arial" w:eastAsia="Arial" w:hAnsi="Arial" w:cs="Arial"/>
          <w:sz w:val="24"/>
          <w:szCs w:val="24"/>
        </w:rPr>
        <w:lastRenderedPageBreak/>
        <w:t>sendo um espaço de formação humana e intelectual, essencial para a construção de uma sociedade mais reflexiva e democrática.</w:t>
      </w:r>
    </w:p>
    <w:p w14:paraId="763DF983" w14:textId="77777777" w:rsidR="00370202" w:rsidRDefault="00370202">
      <w:pPr>
        <w:spacing w:after="0" w:line="480" w:lineRule="auto"/>
        <w:ind w:firstLine="851"/>
        <w:rPr>
          <w:rFonts w:ascii="Arial" w:eastAsia="Arial" w:hAnsi="Arial" w:cs="Arial"/>
          <w:b/>
          <w:bCs/>
          <w:sz w:val="24"/>
          <w:szCs w:val="24"/>
        </w:rPr>
      </w:pPr>
    </w:p>
    <w:p w14:paraId="429A1E23" w14:textId="77777777" w:rsidR="00370202" w:rsidRDefault="001047CC">
      <w:pPr>
        <w:spacing w:after="0" w:line="480" w:lineRule="auto"/>
        <w:rPr>
          <w:rFonts w:ascii="Arial" w:eastAsia="Arial" w:hAnsi="Arial" w:cs="Arial"/>
          <w:b/>
          <w:bCs/>
          <w:sz w:val="24"/>
          <w:szCs w:val="24"/>
        </w:rPr>
      </w:pPr>
      <w:r>
        <w:rPr>
          <w:rFonts w:ascii="Arial" w:eastAsia="Arial" w:hAnsi="Arial" w:cs="Arial"/>
          <w:b/>
          <w:bCs/>
          <w:sz w:val="24"/>
          <w:szCs w:val="24"/>
        </w:rPr>
        <w:t>INCLUSÃO ESCOLAR E ÉTICA NA EDUCAÇÃO</w:t>
      </w:r>
    </w:p>
    <w:p w14:paraId="2D82EED2" w14:textId="77777777" w:rsidR="00370202" w:rsidRDefault="00370202">
      <w:pPr>
        <w:spacing w:after="0" w:line="480" w:lineRule="auto"/>
        <w:rPr>
          <w:rFonts w:ascii="Arial" w:eastAsia="Arial" w:hAnsi="Arial" w:cs="Arial"/>
          <w:b/>
          <w:bCs/>
          <w:sz w:val="24"/>
          <w:szCs w:val="24"/>
        </w:rPr>
      </w:pPr>
    </w:p>
    <w:p w14:paraId="1310BA6B"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inclusão escolar é um dos grandes desafios da educação contemporânea, pois envolve não apenas a garantia do acesso de todos os alunos à escola, mas também a efetivação de um ambiente que respeite as diferenças e possibilite o aprendizado de forma equitativa. No entanto, esse processo tem sido atravessado por tensões teóricas e práticas que exigem uma reflexão crítica sobre os caminhos percorridos e as limitações enfrentadas. </w:t>
      </w:r>
    </w:p>
    <w:p w14:paraId="03CC6355"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O conceito de inclusão escolar surgiu como um desdobramento de movimentos sociais mais amplos, que buscaram combater as formas de segregação e marginalização de grupos minoritários (Rosa; Rufino, 2021). Esses movimentos encontraram respaldo em documentos internacionais, como a Declaração de Salamanca (UNESCO, 1994), que estabeleceu diretrizes para a implementação de sistemas educacionais mais inclusivos.</w:t>
      </w:r>
    </w:p>
    <w:p w14:paraId="530B59CB"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No Brasil, a inclusão escolar foi impulsionada a partir da década de 1990, com a promulgação de marcos legais como a Política Nacional de Educação Especial na Perspectiva da Educação Inclusiva (Brasil, 2008). Essa política enfatiza que todos os alunos, independentemente de suas condições físicas, intelectuais ou sociais, têm o direito de frequentar escolas regulares e participar ativamente do processo educativo. Entretanto, </w:t>
      </w:r>
      <w:proofErr w:type="spellStart"/>
      <w:r>
        <w:rPr>
          <w:rFonts w:ascii="Arial" w:eastAsia="Arial" w:hAnsi="Arial" w:cs="Arial"/>
          <w:sz w:val="24"/>
          <w:szCs w:val="24"/>
        </w:rPr>
        <w:t>Lemer</w:t>
      </w:r>
      <w:proofErr w:type="spellEnd"/>
      <w:r>
        <w:rPr>
          <w:rFonts w:ascii="Arial" w:eastAsia="Arial" w:hAnsi="Arial" w:cs="Arial"/>
          <w:sz w:val="24"/>
          <w:szCs w:val="24"/>
        </w:rPr>
        <w:t xml:space="preserve"> e Voltolini (2015, p. 78) explicam que “o conceito de inclusão foi amplamente expandido, sendo aplicado a diferentes formas de exclusão, o que resultou, em alguns casos, em um discurso generalizante que desconsidera as especificidades de cada contexto educacional”. Essa ampliação, apesar de positiva no sentido de promover a equidade, também gerou desafios práticos para a adaptação das escolas e para a formação dos docentes.</w:t>
      </w:r>
    </w:p>
    <w:p w14:paraId="75809723"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psicanálise tem contribuído para a análise crítica da inclusão escolar ao apontar que a forma como esse processo é conduzido pode gerar efeitos subjetivos que nem sempre são considerados. Como destaca Voltolini (2013, p. 31), “a inclusão precisa ser pensada para além de um imperativo moral; deve considerar os desafios concretos que os professores e alunos enfrentam no cotidiano escolar”. Deste modo, </w:t>
      </w:r>
      <w:r>
        <w:rPr>
          <w:rFonts w:ascii="Arial" w:eastAsia="Arial" w:hAnsi="Arial" w:cs="Arial"/>
          <w:sz w:val="24"/>
          <w:szCs w:val="24"/>
        </w:rPr>
        <w:lastRenderedPageBreak/>
        <w:t>há uma necessidade de reflexão sobre como a escola pode se tornar um espaço, verdadeiramente, inclusivo, evitando que o conceito seja reduzido a um ideal abstrato.</w:t>
      </w:r>
    </w:p>
    <w:p w14:paraId="6133041C"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Nesse sentido, é necessário reconhecer que a inclusão não pode ser entendida como um simples deslocamento de alunos com deficiência para o ambiente escolar regular, sem que haja uma transformação estrutural no modelo educacional, “a inclusão escolar, ao ser tratada como um imperativo moral, pode perder sua dimensão crítica, tornando-se um ideal que ignora os impasses e contradições inerentes ao processo educativo” (</w:t>
      </w:r>
      <w:proofErr w:type="spellStart"/>
      <w:r>
        <w:rPr>
          <w:rFonts w:ascii="Arial" w:eastAsia="Arial" w:hAnsi="Arial" w:cs="Arial"/>
          <w:sz w:val="24"/>
          <w:szCs w:val="24"/>
        </w:rPr>
        <w:t>Lemer</w:t>
      </w:r>
      <w:proofErr w:type="spellEnd"/>
      <w:r>
        <w:rPr>
          <w:rFonts w:ascii="Arial" w:eastAsia="Arial" w:hAnsi="Arial" w:cs="Arial"/>
          <w:sz w:val="24"/>
          <w:szCs w:val="24"/>
        </w:rPr>
        <w:t xml:space="preserve">; Voltolini, 2015, p. 80). Para que a inclusão seja efetiva, é essencial que as práticas pedagógicas sejam reformuladas e que os docentes sejam capacitados para lidar com a diversidade de perfis dos estudantes. </w:t>
      </w:r>
    </w:p>
    <w:p w14:paraId="7D31A3AC"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Outro ponto fundamental da discussão sobre inclusão escolar refere-se aos dilemas éticos enfrentados pelos professores. O modelo inclusivo impõe desafios que envolvem desde a adaptação dos conteúdos e metodologias até o manejo das relações interpessoais dentro da sala de aula. Para </w:t>
      </w:r>
      <w:proofErr w:type="spellStart"/>
      <w:r>
        <w:rPr>
          <w:rFonts w:ascii="Arial" w:eastAsia="Arial" w:hAnsi="Arial" w:cs="Arial"/>
          <w:sz w:val="24"/>
          <w:szCs w:val="24"/>
        </w:rPr>
        <w:t>Lemer</w:t>
      </w:r>
      <w:proofErr w:type="spellEnd"/>
      <w:r>
        <w:rPr>
          <w:rFonts w:ascii="Arial" w:eastAsia="Arial" w:hAnsi="Arial" w:cs="Arial"/>
          <w:sz w:val="24"/>
          <w:szCs w:val="24"/>
        </w:rPr>
        <w:t xml:space="preserve"> e Voltolini (2015, p. 82), “os docentes frequentemente se veem diante de uma tensão entre o desejo de acolher todos os alunos e as limitações estruturais e pedagógicas que dificultam a implementação de práticas verdadeiramente inclusivas”. Esse dilema se agrava quando as escolas não oferecem suporte adequado, como formação continuada para os professores ou recursos pedagógicos específicos para atender às demandas dos alunos com deficiência.</w:t>
      </w:r>
    </w:p>
    <w:p w14:paraId="74610733"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falta de suporte institucional, muitas vezes, leva à sobrecarga dos professores e à reprodução de práticas que, em vez de promoverem a inclusão, reforçam processos de exclusão dentro da própria escola. Segundo </w:t>
      </w:r>
      <w:proofErr w:type="spellStart"/>
      <w:r>
        <w:rPr>
          <w:rFonts w:ascii="Arial" w:eastAsia="Arial" w:hAnsi="Arial" w:cs="Arial"/>
          <w:sz w:val="24"/>
          <w:szCs w:val="24"/>
        </w:rPr>
        <w:t>Lemer</w:t>
      </w:r>
      <w:proofErr w:type="spellEnd"/>
      <w:r>
        <w:rPr>
          <w:rFonts w:ascii="Arial" w:eastAsia="Arial" w:hAnsi="Arial" w:cs="Arial"/>
          <w:sz w:val="24"/>
          <w:szCs w:val="24"/>
        </w:rPr>
        <w:t xml:space="preserve"> e Voltolini (2015, p. 84), “a inclusão não pode se restringir a um discurso politicamente correto; é necessário que haja um comprometimento real com a criação de condições que possibilitem a aprendizagem para todos”. Assim, a formação docente precisa ser reformulada para incorporar não apenas conhecimentos técnicos sobre educação inclusiva, mas também uma reflexão ética sobre o papel do professor na construção de um ambiente escolar que respeite as diferenças.</w:t>
      </w:r>
    </w:p>
    <w:p w14:paraId="495E2A56"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Outro aspecto relevante da questão ética, na inclusão escolar, é quando a escola espera que os estudantes com deficiência se encaixem em padrões previamente definidos, desconsiderando as singularidades deles. Voltolini (2013, p. 33) explica que “muitas vezes, a inclusão escolar é pensada dentro de um modelo de adaptação do aluno à escola, e não da escola ao aluno, o que pode gerar frustrações </w:t>
      </w:r>
      <w:r>
        <w:rPr>
          <w:rFonts w:ascii="Arial" w:eastAsia="Arial" w:hAnsi="Arial" w:cs="Arial"/>
          <w:sz w:val="24"/>
          <w:szCs w:val="24"/>
        </w:rPr>
        <w:lastRenderedPageBreak/>
        <w:t>e dificuldades no processo de ensino-aprendizagem”. Esse modelo, ao tentar inserir todos os alunos em uma estrutura rígida e padronizada, ignora a necessidade de flexibilizar o currículo e as práticas pedagógicas para atender às diferentes formas de aprendizagem.</w:t>
      </w:r>
    </w:p>
    <w:p w14:paraId="3C8AF3FE"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Nesse contexto, a inclusão escolar precisa ser compreendida como um direito, um compromisso ético e político que exige mudanças estruturais na forma como a educação é organizada. A verdadeira inclusão só ocorre quando há uma transformação na cultura escolar, permitindo que a diversidade seja reconhecida e valorizada como parte essencial do processo educativo (</w:t>
      </w:r>
      <w:proofErr w:type="spellStart"/>
      <w:r>
        <w:rPr>
          <w:rFonts w:ascii="Arial" w:eastAsia="Arial" w:hAnsi="Arial" w:cs="Arial"/>
          <w:sz w:val="24"/>
          <w:szCs w:val="24"/>
        </w:rPr>
        <w:t>Lemer</w:t>
      </w:r>
      <w:proofErr w:type="spellEnd"/>
      <w:r>
        <w:rPr>
          <w:rFonts w:ascii="Arial" w:eastAsia="Arial" w:hAnsi="Arial" w:cs="Arial"/>
          <w:sz w:val="24"/>
          <w:szCs w:val="24"/>
        </w:rPr>
        <w:t>; Voltolini, 2015). Isso implica na necessidade de políticas públicas que garantam não apenas o acesso à escola, mas também a qualidade do ensino oferecido, de forma a assegurar que todos os alunos tenham condições reais de aprender e se desenvolver plenamente.</w:t>
      </w:r>
    </w:p>
    <w:p w14:paraId="39BF2D71"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Diante dessas reflexões, torna-se evidente que a inclusão escolar não pode ser reduzida a uma questão meramente burocrática ou legal, mas deve ser encarada como um processo contínuo que envolve desafios pedagógicos, subjetivos e éticos. A psicanálise contribui para essa discussão ao destacar que a inclusão não deve ser um ideal abstrato, mas sim um processo que leva em conta as condições reais de aprendizagem e desenvolvimento dos alunos. Além disso, os professores desempenham um papel central nesse processo, sendo fundamental que recebam suporte adequado para enfrentar os desafios impostos pela diversidade no ambiente escolar.</w:t>
      </w:r>
    </w:p>
    <w:p w14:paraId="763F1D8A"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construção de uma escola, genuinamente, inclusiva depende do comprometimento de toda a comunidade escolar: professores, gestores, famílias e a sociedade, pois “a inclusão não é um fim em si mesma, mas um meio para garantir que a educação cumpra seu papel social de formar sujeitos autônomos e críticos, capazes de atuar na sociedade de maneira plena e participativa” (</w:t>
      </w:r>
      <w:proofErr w:type="spellStart"/>
      <w:r>
        <w:rPr>
          <w:rFonts w:ascii="Arial" w:eastAsia="Arial" w:hAnsi="Arial" w:cs="Arial"/>
          <w:sz w:val="24"/>
          <w:szCs w:val="24"/>
        </w:rPr>
        <w:t>Lemer</w:t>
      </w:r>
      <w:proofErr w:type="spellEnd"/>
      <w:r>
        <w:rPr>
          <w:rFonts w:ascii="Arial" w:eastAsia="Arial" w:hAnsi="Arial" w:cs="Arial"/>
          <w:sz w:val="24"/>
          <w:szCs w:val="24"/>
        </w:rPr>
        <w:t xml:space="preserve">; Voltolini, 2015, p. 88). Portanto, a inclusão deve ser pensada, a partir de uma perspectiva crítica e ética, para que o direito à educação das pessoas com deficiência seja valorizado. </w:t>
      </w:r>
    </w:p>
    <w:p w14:paraId="6E5D4100" w14:textId="77777777" w:rsidR="00370202" w:rsidRDefault="001047CC">
      <w:pPr>
        <w:spacing w:after="0" w:line="480" w:lineRule="auto"/>
        <w:rPr>
          <w:rFonts w:ascii="Arial" w:eastAsia="Arial" w:hAnsi="Arial" w:cs="Arial"/>
          <w:b/>
          <w:bCs/>
          <w:sz w:val="24"/>
          <w:szCs w:val="24"/>
        </w:rPr>
      </w:pPr>
      <w:r>
        <w:rPr>
          <w:rFonts w:ascii="Arial" w:eastAsia="Arial" w:hAnsi="Arial" w:cs="Arial"/>
          <w:b/>
          <w:bCs/>
          <w:sz w:val="24"/>
          <w:szCs w:val="24"/>
        </w:rPr>
        <w:t>VOCAÇÃO E PROFISSIONALIZAÇÃO DOCENTE</w:t>
      </w:r>
    </w:p>
    <w:p w14:paraId="0A937F3C" w14:textId="77777777" w:rsidR="00370202" w:rsidRDefault="00370202">
      <w:pPr>
        <w:spacing w:after="0" w:line="480" w:lineRule="auto"/>
        <w:ind w:firstLine="851"/>
        <w:jc w:val="both"/>
        <w:rPr>
          <w:rFonts w:ascii="Arial" w:eastAsia="Arial" w:hAnsi="Arial" w:cs="Arial"/>
          <w:sz w:val="24"/>
          <w:szCs w:val="24"/>
        </w:rPr>
      </w:pPr>
    </w:p>
    <w:p w14:paraId="5784D95E"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identidade do professor tem passado por significativas transformações ao longo das últimas décadas, impulsionadas, principalmente, pelas mudanças sociais, econômicas e políticas que reconfiguram o papel da educação. O conceito de vocação </w:t>
      </w:r>
      <w:r>
        <w:rPr>
          <w:rFonts w:ascii="Arial" w:eastAsia="Arial" w:hAnsi="Arial" w:cs="Arial"/>
          <w:sz w:val="24"/>
          <w:szCs w:val="24"/>
        </w:rPr>
        <w:lastRenderedPageBreak/>
        <w:t>docente, historicamente, associado à dedicação e ao compromisso com o ensino, tem sido, progressivamente, deslocado por uma lógica de profissionalização que se alinha às exigências do mercado. Como aponta Manzi Filho (2024, p. 2), “a ideia de vocação do professor está em desuso e parece fora de ‘situação’, uma vez que o ofício docente não se adequa às exigências de flexibilidade impostas pelo sistema econômico hegemônico”. Esse fenômeno reflete o avanço do neoliberalismo sobre as estruturas educacionais, promovendo uma visão pragmática da docência, na qual o professor é cada vez mais tratado como um prestador de serviços.</w:t>
      </w:r>
    </w:p>
    <w:p w14:paraId="1E93CA4F"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substituição da noção de vocação pela profissionalização insere-se em um contexto mais amplo de transformação do trabalho docente. A emergência de novas políticas educacionais e a crescente influência de organizações privadas no setor da educação intensificaram um processo de padronização curricular e o ensino passou a ser regido por metas de desempenho e avaliações quantitativas. Segundo </w:t>
      </w:r>
      <w:proofErr w:type="spellStart"/>
      <w:r>
        <w:rPr>
          <w:rFonts w:ascii="Arial" w:eastAsia="Arial" w:hAnsi="Arial" w:cs="Arial"/>
          <w:sz w:val="24"/>
          <w:szCs w:val="24"/>
        </w:rPr>
        <w:t>Sibilia</w:t>
      </w:r>
      <w:proofErr w:type="spellEnd"/>
      <w:r>
        <w:rPr>
          <w:rFonts w:ascii="Arial" w:eastAsia="Arial" w:hAnsi="Arial" w:cs="Arial"/>
          <w:sz w:val="24"/>
          <w:szCs w:val="24"/>
        </w:rPr>
        <w:t xml:space="preserve"> (2012, p. 45), “a escola, antes vista como um espaço de transmissão do conhecimento e formação cidadã, passou a ser permeada pelas mesmas lógicas que regem o mundo corporativo, levando a uma crescente padronização das práticas pedagógicas”. Essa mudança tem impactos diretos na subjetividade dos professores, que se veem pressionados por metas de produtividade e pelo desempenho dos alunos, que é medido por avaliações externas e testes padronizados. O docente, antes reconhecido por sua autonomia e criatividade no ensino, agora precisa se adaptar a um modelo cada vez mais instrumentalizado, no qual seu papel é regulado por diretrizes externas que determinam o que e como ensinar.</w:t>
      </w:r>
    </w:p>
    <w:p w14:paraId="26C50667"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Manzi Filho (2024, p. 3) argumenta que essa transição resulta na mercantilização da profissão docente, que reduz sua complexidade a parâmetros mensuráveis de eficiência. Para o autor, “o discurso da profissionalização, embora importante para a valorização dos professores, acaba por transformar a docência em uma atividade gerenciada segundo princípios empresariais, afastando-se de sua dimensão ética e formativa”. Essa perspectiva é reforçada por </w:t>
      </w:r>
      <w:proofErr w:type="spellStart"/>
      <w:r>
        <w:rPr>
          <w:rFonts w:ascii="Arial" w:eastAsia="Arial" w:hAnsi="Arial" w:cs="Arial"/>
          <w:sz w:val="24"/>
          <w:szCs w:val="24"/>
        </w:rPr>
        <w:t>Sibilia</w:t>
      </w:r>
      <w:proofErr w:type="spellEnd"/>
      <w:r>
        <w:rPr>
          <w:rFonts w:ascii="Arial" w:eastAsia="Arial" w:hAnsi="Arial" w:cs="Arial"/>
          <w:sz w:val="24"/>
          <w:szCs w:val="24"/>
        </w:rPr>
        <w:t xml:space="preserve"> (2012, p. 50), que observa que a incorporação de tecnologias educacionais e métodos padronizados contribui para a diluição da identidade do professor, tornando-o um mero operador de conteúdos previamente estruturados. Esse processo impacta diretamente a forma como os docentes percebem seu trabalho, gerando desmotivação e um sentimento de alienação em relação ao ensino.</w:t>
      </w:r>
    </w:p>
    <w:p w14:paraId="6F935EC1"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lastRenderedPageBreak/>
        <w:t>Outro aspecto relevante dessa discussão diz respeito às resistências e possibilidades de ressignificação da docência diante desse cenário. Apesar da crescente pressão por profissionalização, muitos professores continuam a reivindicar o valor da vocação e do compromisso pedagógico como elementos centrais da identidade docente. Como destaca Manzi Filho (2024, p. 5), “há um movimento de resistência entre os educadores, que buscam resgatar a dimensão ética da profissão, enfatizando a importância da relação professor-aluno e do papel transformador da educação”. Esse movimento encontra respaldo em práticas pedagógicas que valorizam a autonomia docente, a personalização do ensino e a construção coletiva do conhecimento, contrapondo-se à lógica mercadológica imposta pelas reformas educacionais neoliberais.</w:t>
      </w:r>
    </w:p>
    <w:p w14:paraId="03A6FAF1"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Além disso, o modelo de profissionalização docente, frequentemente, ignora a subjetividade dos professores, tratando-os como peças ajustáveis a um sistema educacional que se pretende neutro e eficiente. Porém, como observa Prata (2005, p. 112), “o trabalho docente envolve a construção da subjetividade do professor e do aluno, e qualquer tentativa de padronizar essa relação tende a desumanizar a prática educativa”. Dessa forma, a profissionalização não pode ser compreendida apenas como um processo técnico, mas deve considerar as dimensões éticas, emocionais e sociais que permeiam à docência.</w:t>
      </w:r>
    </w:p>
    <w:p w14:paraId="37F5A786" w14:textId="77777777" w:rsidR="00370202" w:rsidRDefault="001047CC">
      <w:pPr>
        <w:spacing w:after="0" w:line="360" w:lineRule="auto"/>
        <w:ind w:firstLine="851"/>
        <w:jc w:val="both"/>
        <w:rPr>
          <w:rFonts w:ascii="Arial" w:eastAsia="Arial" w:hAnsi="Arial" w:cs="Arial"/>
          <w:sz w:val="24"/>
          <w:szCs w:val="24"/>
        </w:rPr>
      </w:pPr>
      <w:proofErr w:type="spellStart"/>
      <w:r>
        <w:rPr>
          <w:rFonts w:ascii="Arial" w:eastAsia="Arial" w:hAnsi="Arial" w:cs="Arial"/>
          <w:sz w:val="24"/>
          <w:szCs w:val="24"/>
        </w:rPr>
        <w:t>Sibilia</w:t>
      </w:r>
      <w:proofErr w:type="spellEnd"/>
      <w:r>
        <w:rPr>
          <w:rFonts w:ascii="Arial" w:eastAsia="Arial" w:hAnsi="Arial" w:cs="Arial"/>
          <w:sz w:val="24"/>
          <w:szCs w:val="24"/>
        </w:rPr>
        <w:t xml:space="preserve"> (2012) afirma que a escola contemporânea ainda pode ser um espaço de experimentação e inovação, desde que os professores sejam incentivados a atuar de maneira crítica e reflexiva, “</w:t>
      </w:r>
      <w:proofErr w:type="spellStart"/>
      <w:r>
        <w:rPr>
          <w:rFonts w:ascii="Arial" w:eastAsia="Arial" w:hAnsi="Arial" w:cs="Arial"/>
          <w:sz w:val="24"/>
          <w:szCs w:val="24"/>
        </w:rPr>
        <w:t>a</w:t>
      </w:r>
      <w:proofErr w:type="spellEnd"/>
      <w:r>
        <w:rPr>
          <w:rFonts w:ascii="Arial" w:eastAsia="Arial" w:hAnsi="Arial" w:cs="Arial"/>
          <w:sz w:val="24"/>
          <w:szCs w:val="24"/>
        </w:rPr>
        <w:t xml:space="preserve"> docência não pode ser reduzida a um conjunto de competências técnicas; é necessário recuperar a dimensão subjetiva e social desse ofício, permitindo que os professores exerçam sua função de forma autônoma e criativa” (</w:t>
      </w:r>
      <w:proofErr w:type="spellStart"/>
      <w:r>
        <w:rPr>
          <w:rFonts w:ascii="Arial" w:eastAsia="Arial" w:hAnsi="Arial" w:cs="Arial"/>
          <w:sz w:val="24"/>
          <w:szCs w:val="24"/>
        </w:rPr>
        <w:t>Sibilia</w:t>
      </w:r>
      <w:proofErr w:type="spellEnd"/>
      <w:r>
        <w:rPr>
          <w:rFonts w:ascii="Arial" w:eastAsia="Arial" w:hAnsi="Arial" w:cs="Arial"/>
          <w:sz w:val="24"/>
          <w:szCs w:val="24"/>
        </w:rPr>
        <w:t>, 2012, p. 62). Isso implica na necessidade de políticas educacionais que valorizem a formação continuada dos docentes, ofereçam condições de trabalho dignas e incentivem metodologias eficazes para o processo de ensino-aprendizagem.</w:t>
      </w:r>
    </w:p>
    <w:p w14:paraId="66288D74"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relação entre vocação e profissionalização, portanto, não deve ser encarada como uma oposição irreconciliável, mas sim como um campo de tensões que reflete as disputas em torno do papel do professor na sociedade. Como observa Manzi Filho (2024, p. 6), “</w:t>
      </w:r>
      <w:proofErr w:type="spellStart"/>
      <w:r>
        <w:rPr>
          <w:rFonts w:ascii="Arial" w:eastAsia="Arial" w:hAnsi="Arial" w:cs="Arial"/>
          <w:sz w:val="24"/>
          <w:szCs w:val="24"/>
        </w:rPr>
        <w:t>a</w:t>
      </w:r>
      <w:proofErr w:type="spellEnd"/>
      <w:r>
        <w:rPr>
          <w:rFonts w:ascii="Arial" w:eastAsia="Arial" w:hAnsi="Arial" w:cs="Arial"/>
          <w:sz w:val="24"/>
          <w:szCs w:val="24"/>
        </w:rPr>
        <w:t xml:space="preserve"> docência pode ser profissionalizada sem perder de vista sua essência ética e social, desde que essa profissionalização esteja alinhada a um projeto educacional que valorize a construção do conhecimento e a formação cidadã”. Esse equilíbrio é fundamental para que a escola continue a desempenhar sua função de </w:t>
      </w:r>
      <w:r>
        <w:rPr>
          <w:rFonts w:ascii="Arial" w:eastAsia="Arial" w:hAnsi="Arial" w:cs="Arial"/>
          <w:sz w:val="24"/>
          <w:szCs w:val="24"/>
        </w:rPr>
        <w:lastRenderedPageBreak/>
        <w:t>maneira significativa, garantindo que o professor não seja apenas um técnico da educação, mas um agente ativo na formação dos estudantes.</w:t>
      </w:r>
    </w:p>
    <w:p w14:paraId="3CC789CF"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Diante desse contexto, a necessidade de ressignificação da docência se torna evidente. O desafio está em construir um modelo educacional que reconheça a importância da formação profissional dos professores sem desconsiderar os valores que, historicamente, fundamentam essa atividade. A docência é um ofício que envolve a transmissão de conteúdos, a construção de subjetividades e a mediação das relações sociais dentro da escola (</w:t>
      </w:r>
      <w:proofErr w:type="spellStart"/>
      <w:r>
        <w:rPr>
          <w:rFonts w:ascii="Arial" w:eastAsia="Arial" w:hAnsi="Arial" w:cs="Arial"/>
          <w:sz w:val="24"/>
          <w:szCs w:val="24"/>
        </w:rPr>
        <w:t>Sibilia</w:t>
      </w:r>
      <w:proofErr w:type="spellEnd"/>
      <w:r>
        <w:rPr>
          <w:rFonts w:ascii="Arial" w:eastAsia="Arial" w:hAnsi="Arial" w:cs="Arial"/>
          <w:sz w:val="24"/>
          <w:szCs w:val="24"/>
        </w:rPr>
        <w:t>, 2012). Dessa forma, é essencial que o debate sobre a profissionalização docente leve em conta não apenas os aspectos técnicos do ensino, mas também os impactos subjetivos e éticos dessa transformação sobre os professores e os alunos.</w:t>
      </w:r>
    </w:p>
    <w:p w14:paraId="4DFEAEE7"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 xml:space="preserve">A reflexão sobre a docência, no contexto contemporâneo, demanda uma análise crítica das transformações que vêm sendo impostas ao trabalho dos professores. A substituição da vocação pela profissionalização não pode ser vista como um fenômeno isolado, pois traz consigo consequências diretas para a qualidade do ensino e a identidade docente. Como destacam Manzi Filho (2024) e </w:t>
      </w:r>
      <w:proofErr w:type="spellStart"/>
      <w:r>
        <w:rPr>
          <w:rFonts w:ascii="Arial" w:eastAsia="Arial" w:hAnsi="Arial" w:cs="Arial"/>
          <w:sz w:val="24"/>
          <w:szCs w:val="24"/>
        </w:rPr>
        <w:t>Sibilia</w:t>
      </w:r>
      <w:proofErr w:type="spellEnd"/>
      <w:r>
        <w:rPr>
          <w:rFonts w:ascii="Arial" w:eastAsia="Arial" w:hAnsi="Arial" w:cs="Arial"/>
          <w:sz w:val="24"/>
          <w:szCs w:val="24"/>
        </w:rPr>
        <w:t xml:space="preserve"> (2012), a resistência à mercantilização da educação e a reafirmação da docência como um espaço de construção coletiva do conhecimento são fundamentais. Dessa maneira, a escola pode preservar sua função primordial de formação humana e social, evitando se tornar uma mera instituição subordinada às demandas do mercado.</w:t>
      </w:r>
    </w:p>
    <w:p w14:paraId="3E88B28E" w14:textId="77777777" w:rsidR="00370202" w:rsidRDefault="00370202">
      <w:pPr>
        <w:spacing w:after="0" w:line="480" w:lineRule="auto"/>
        <w:ind w:firstLine="851"/>
        <w:jc w:val="both"/>
        <w:rPr>
          <w:rFonts w:ascii="Arial" w:eastAsia="Arial" w:hAnsi="Arial" w:cs="Arial"/>
          <w:sz w:val="24"/>
          <w:szCs w:val="24"/>
        </w:rPr>
      </w:pPr>
    </w:p>
    <w:p w14:paraId="1D36B4E0" w14:textId="77777777" w:rsidR="00370202" w:rsidRDefault="001047CC">
      <w:pPr>
        <w:spacing w:after="0" w:line="480" w:lineRule="auto"/>
        <w:rPr>
          <w:rFonts w:ascii="Arial" w:eastAsia="Arial" w:hAnsi="Arial" w:cs="Arial"/>
          <w:b/>
          <w:bCs/>
          <w:sz w:val="24"/>
          <w:szCs w:val="24"/>
        </w:rPr>
      </w:pPr>
      <w:r>
        <w:rPr>
          <w:rFonts w:ascii="Arial" w:eastAsia="Arial" w:hAnsi="Arial" w:cs="Arial"/>
          <w:b/>
          <w:bCs/>
          <w:sz w:val="24"/>
          <w:szCs w:val="24"/>
        </w:rPr>
        <w:t>CONSIDERAÇÕES FINAIS</w:t>
      </w:r>
    </w:p>
    <w:p w14:paraId="56C5AD32" w14:textId="77777777" w:rsidR="00370202" w:rsidRDefault="00370202">
      <w:pPr>
        <w:spacing w:after="0" w:line="480" w:lineRule="auto"/>
        <w:rPr>
          <w:rFonts w:ascii="Arial" w:eastAsia="Arial" w:hAnsi="Arial" w:cs="Arial"/>
          <w:b/>
          <w:bCs/>
          <w:sz w:val="24"/>
          <w:szCs w:val="24"/>
        </w:rPr>
      </w:pPr>
    </w:p>
    <w:p w14:paraId="78923D5D"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educação contemporânea enfrenta desafios cada vez mais complexos diante das transformações sociais, políticas e tecnológicas que impactam diretamente os processos de ensino-aprendizagem, a inclusão escolar e a identidade profissional dos docentes. Ao longo deste estudo, buscou-se problematizar essas questões a partir de diferentes perspectivas teóricas, evidenciando a necessidade de um olhar crítico sobre as mudanças em curso e seus impactos para a qualidade da educação. A escola, tradicionalmente, concebida como um espaço de formação integral do sujeito, precisa se reconfigurar para atender às novas demandas sociais sem perder de vista sua função primordial de construção do conhecimento e formação cidadã.</w:t>
      </w:r>
    </w:p>
    <w:p w14:paraId="1D490FB3"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lastRenderedPageBreak/>
        <w:t>A influência das novas tecnologias na educação alterou de maneira significativa a relação dos alunos com o saber e introduziu novas formas de subjetivação que desafiam os modelos tradicionais de ensino. O acesso ilimitado à informação e a hiperconectividade reconfiguraram o papel do professor, deslocando sua autoridade e exigindo a adoção de novas metodologias para engajar os estudantes. Entretanto, como discutido, essa transição não ocorre sem tensões, uma vez que a fragmentação da atenção e a dispersão de conteúdos podem comprometer a construção do pensamento crítico. Diante desse cenário, torna-se essencial refletir sobre como a tecnologia pode ser incorporada ao ensino de forma estratégica e significativa para favorecer a formação integral e não apenas contribuir para a instrumentalização mercadológica.</w:t>
      </w:r>
    </w:p>
    <w:p w14:paraId="16EC03B2"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No que diz respeito à inclusão escolar, a análise apontou que, embora tenha havido avanços na normatização e no discurso em prol da educação inclusiva, sua efetivação no cotidiano das escolas ainda enfrenta inúmeros desafios. A psicanálise oferece uma importante contribuição ao problematizar a idealização da inclusão como um imperativo moral e ao destacar a necessidade de considerar as singularidades dos alunos e as condições institucionais que possibilitam a aprendizagem efetiva. A ausência de suporte adequado para professores e escolas, aliada à falta de políticas públicas eficazes, pode resultar em uma inclusão apenas formal, sem garantir, de fato, a participação ativa e o aprendizado dos estudantes com necessidades educacionais específicas. Assim, torna-se fundamental que a inclusão seja vista não apenas como um direito legal, mas como um compromisso ético e político que demanda transformações estruturais e pedagógicas para ser efetiva.</w:t>
      </w:r>
    </w:p>
    <w:p w14:paraId="775689F2"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identidade docente também passa por um processo de reconfiguração, marcado pelo embate entre a noção de vocação e a crescente profissionalização da docência sob uma lógica neoliberal. O professor, que, historicamente, ocupava um lugar central na mediação do conhecimento, vê-se cada vez mais pressionado por exigências mercadológicas que reduzem seu papel a um executor de diretrizes pedagógicas padronizadas. A mercantilização da educação, impulsionada pela inserção de modelos empresariais na gestão escolar, ameaça a autonomia docente e compromete a dimensão ética da profissão. No entanto, como destacado, há também resistências a esse modelo, com professores e pesquisadores defendendo a necessidade de ressignificar à docência, reafirmando-a como um espaço de construção coletiva do saber e de formação crítica dos sujeitos.</w:t>
      </w:r>
    </w:p>
    <w:p w14:paraId="4DF6F14A"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lastRenderedPageBreak/>
        <w:t>Diante desse contexto, evidencia-se a necessidade de um novo paradigma educacional que supere a fragmentação e a instrumentalização do ensino e promova a valorização do pensamento crítico, da inclusão efetiva e da autonomia docente. Para tanto, é imprescindível que futuras pesquisas aprofundem o debate sobre os impactos das novas tecnologias na subjetividade dos alunos, os desafios da inclusão escolar e as consequências da lógica neoliberal para a formação dos professores. Além disso, políticas públicas mais eficazes devem ser desenvolvidas para garantir condições dignas de trabalho para os docentes, bem como infraestrutura e metodologias adequadas para atender às necessidades de todos os estudantes.</w:t>
      </w:r>
    </w:p>
    <w:p w14:paraId="15937EC6"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 construção de um modelo educacional mais humanizado e inclusivo exige o engajamento de toda a sociedade. Não se trata apenas de adaptar a escola às exigências do mercado, mas de resgatar sua função essencial como espaço de emancipação e transformação social. A educação não pode ser reduzida a um treinamento técnico ou a uma preparação para o mercado de trabalho; ela deve ser um instrumento de formação integral, promovendo a autonomia intelectual e a participação ativa dos sujeitos na sociedade. Como destacado ao longo deste estudo, os desafios são inúmeros, mas resistir à mercantilização do ensino e reafirmar a importância da educação como direito fundamental são passos essenciais para garantir que a escola continue a ser um espaço de construção coletiva do conhecimento e de fortalecimento da democracia.</w:t>
      </w:r>
    </w:p>
    <w:p w14:paraId="56733211" w14:textId="77777777" w:rsidR="00370202" w:rsidRDefault="001047CC">
      <w:pPr>
        <w:spacing w:after="0" w:line="360" w:lineRule="auto"/>
        <w:ind w:firstLine="851"/>
        <w:jc w:val="both"/>
        <w:rPr>
          <w:rFonts w:ascii="Arial" w:eastAsia="Arial" w:hAnsi="Arial" w:cs="Arial"/>
          <w:sz w:val="24"/>
          <w:szCs w:val="24"/>
        </w:rPr>
      </w:pPr>
      <w:r>
        <w:rPr>
          <w:rFonts w:ascii="Arial" w:eastAsia="Arial" w:hAnsi="Arial" w:cs="Arial"/>
          <w:sz w:val="24"/>
          <w:szCs w:val="24"/>
        </w:rPr>
        <w:t>Assim, reafirma-se a urgência de um compromisso coletivo na defesa de uma educação pública de qualidade, que respeite a diversidade, valorize os professores e ofereça condições reais para que todos os alunos possam aprender e se desenvolver plenamente. Esse compromisso passa pela formulação de políticas educacionais que incentivem práticas pedagógicas inovadoras, pelo fortalecimento da formação docente e pelo desenvolvimento de currículos que dialoguem com a realidade dos estudantes. A escola precisa ser um espaço de acolhimento, transformação e emancipação dos sujeitos, por meio de uma educação crítica, reflexiva e inclusiva, para que haja a construção de uma sociedade mais justa, equitativa e democrática.</w:t>
      </w:r>
    </w:p>
    <w:p w14:paraId="1C54A299" w14:textId="77777777" w:rsidR="00370202" w:rsidRDefault="00370202">
      <w:pPr>
        <w:spacing w:after="0" w:line="360" w:lineRule="auto"/>
        <w:ind w:firstLine="709"/>
        <w:jc w:val="both"/>
        <w:rPr>
          <w:rFonts w:ascii="Arial" w:eastAsia="Arial" w:hAnsi="Arial" w:cs="Arial"/>
          <w:sz w:val="24"/>
          <w:szCs w:val="24"/>
        </w:rPr>
      </w:pPr>
    </w:p>
    <w:p w14:paraId="75EE9B0D" w14:textId="77777777" w:rsidR="00370202" w:rsidRDefault="001047CC">
      <w:pPr>
        <w:spacing w:after="0" w:line="360" w:lineRule="auto"/>
        <w:rPr>
          <w:rFonts w:ascii="Arial" w:eastAsia="Arial" w:hAnsi="Arial" w:cs="Arial"/>
          <w:b/>
          <w:bCs/>
          <w:sz w:val="24"/>
          <w:szCs w:val="24"/>
        </w:rPr>
      </w:pPr>
      <w:r>
        <w:rPr>
          <w:rFonts w:ascii="Arial" w:eastAsia="Arial" w:hAnsi="Arial" w:cs="Arial"/>
          <w:b/>
          <w:bCs/>
          <w:sz w:val="24"/>
          <w:szCs w:val="24"/>
        </w:rPr>
        <w:t>REFERÊNCIAS</w:t>
      </w:r>
    </w:p>
    <w:p w14:paraId="5DBF28E6" w14:textId="77777777" w:rsidR="00370202" w:rsidRDefault="00370202">
      <w:pPr>
        <w:spacing w:after="0" w:line="240" w:lineRule="auto"/>
        <w:rPr>
          <w:rFonts w:ascii="Arial" w:eastAsia="Arial" w:hAnsi="Arial" w:cs="Arial"/>
          <w:sz w:val="24"/>
          <w:szCs w:val="24"/>
        </w:rPr>
      </w:pPr>
    </w:p>
    <w:p w14:paraId="0990DE0B" w14:textId="77777777" w:rsidR="00370202" w:rsidRDefault="001047C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BAUMAN, Zygmunt. </w:t>
      </w:r>
      <w:r>
        <w:rPr>
          <w:rFonts w:ascii="Arial" w:eastAsia="Arial" w:hAnsi="Arial" w:cs="Arial"/>
          <w:i/>
          <w:iCs/>
          <w:sz w:val="24"/>
          <w:szCs w:val="24"/>
        </w:rPr>
        <w:t>Modernidade líquida</w:t>
      </w:r>
      <w:r>
        <w:rPr>
          <w:rFonts w:ascii="Arial" w:eastAsia="Arial" w:hAnsi="Arial" w:cs="Arial"/>
          <w:sz w:val="24"/>
          <w:szCs w:val="24"/>
        </w:rPr>
        <w:t>. Rio de Janeiro: Zahar, 2001.</w:t>
      </w:r>
    </w:p>
    <w:p w14:paraId="15A30159" w14:textId="77777777" w:rsidR="00370202" w:rsidRDefault="001047CC">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BRASIL. Ministério da Educação. </w:t>
      </w:r>
      <w:r>
        <w:rPr>
          <w:rFonts w:ascii="Arial" w:eastAsia="Arial" w:hAnsi="Arial" w:cs="Arial"/>
          <w:i/>
          <w:iCs/>
          <w:sz w:val="24"/>
          <w:szCs w:val="24"/>
        </w:rPr>
        <w:t>Política Nacional de Educação Especial na Perspectiva da Educação Inclusiva</w:t>
      </w:r>
      <w:r>
        <w:rPr>
          <w:rFonts w:ascii="Arial" w:eastAsia="Arial" w:hAnsi="Arial" w:cs="Arial"/>
          <w:sz w:val="24"/>
          <w:szCs w:val="24"/>
        </w:rPr>
        <w:t>. Brasília: MEC/SEESP, 2008.</w:t>
      </w:r>
    </w:p>
    <w:p w14:paraId="29777366" w14:textId="77777777" w:rsidR="00370202" w:rsidRDefault="001047C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LEMER, Ana Beatriz Coutinho; VOLTOLINI, Rinaldo. Psicanálise, ética e inclusão escolar. </w:t>
      </w:r>
      <w:r>
        <w:rPr>
          <w:rFonts w:ascii="Arial" w:eastAsia="Arial" w:hAnsi="Arial" w:cs="Arial"/>
          <w:i/>
          <w:iCs/>
          <w:sz w:val="24"/>
          <w:szCs w:val="24"/>
        </w:rPr>
        <w:t>Nuances: estudos sobre Educação</w:t>
      </w:r>
      <w:r>
        <w:rPr>
          <w:rFonts w:ascii="Arial" w:eastAsia="Arial" w:hAnsi="Arial" w:cs="Arial"/>
          <w:sz w:val="24"/>
          <w:szCs w:val="24"/>
        </w:rPr>
        <w:t>, Presidente Prudente - SP, v. 26, n. 2, p. 74-92, 2015. Disponível em: https://revista.fct.unesp.br/index.php/Nuances/article/view/3185. Acesso em: 20 mar. 2025.</w:t>
      </w:r>
    </w:p>
    <w:p w14:paraId="6692CF24" w14:textId="77777777" w:rsidR="00370202" w:rsidRDefault="001047C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MANZI FILHO, Ronaldo. Repensando a potencialidade da concepção de vocação e de ofício do professor. </w:t>
      </w:r>
      <w:r>
        <w:rPr>
          <w:rFonts w:ascii="Arial" w:eastAsia="Arial" w:hAnsi="Arial" w:cs="Arial"/>
          <w:i/>
          <w:iCs/>
          <w:sz w:val="24"/>
          <w:szCs w:val="24"/>
        </w:rPr>
        <w:t>Revista de Educação PUC-Campinas</w:t>
      </w:r>
      <w:r>
        <w:rPr>
          <w:rFonts w:ascii="Arial" w:eastAsia="Arial" w:hAnsi="Arial" w:cs="Arial"/>
          <w:sz w:val="24"/>
          <w:szCs w:val="24"/>
        </w:rPr>
        <w:t>, [S. l.], v. 29, e248691, 2024. Disponível em: https://periodicos.puc-campinas.edu.br/reveducacao/article/view/8691. Acesso em: 20 mar. 2025.</w:t>
      </w:r>
    </w:p>
    <w:p w14:paraId="29219609" w14:textId="77777777" w:rsidR="00370202" w:rsidRDefault="001047CC">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PRATA, Maria Regina dos Santos. A produção da subjetividade e as relações de poder na escola: uma reflexão sobre a sociedade disciplinar na configuração social da atualidade. </w:t>
      </w:r>
      <w:r>
        <w:rPr>
          <w:rFonts w:ascii="Arial" w:eastAsia="Arial" w:hAnsi="Arial" w:cs="Arial"/>
          <w:i/>
          <w:iCs/>
          <w:sz w:val="24"/>
          <w:szCs w:val="24"/>
        </w:rPr>
        <w:t>Revista Brasileira de Educação</w:t>
      </w:r>
      <w:r>
        <w:rPr>
          <w:rFonts w:ascii="Arial" w:eastAsia="Arial" w:hAnsi="Arial" w:cs="Arial"/>
          <w:sz w:val="24"/>
          <w:szCs w:val="24"/>
        </w:rPr>
        <w:t>, n. 28, p. 108-112, jan./abr. 2005. Disponível em: https://www.scielo.br/j/rbedu/a/wzdqPKjymZgRKYT6hJkdQwy/abstract/?lang=pt. Acesso em: 20 mar. 2025.</w:t>
      </w:r>
    </w:p>
    <w:p w14:paraId="088597B6" w14:textId="77777777" w:rsidR="00370202" w:rsidRDefault="001047CC">
      <w:pPr>
        <w:spacing w:before="240" w:after="240" w:line="360" w:lineRule="auto"/>
        <w:jc w:val="both"/>
        <w:rPr>
          <w:rFonts w:ascii="Arial" w:eastAsia="Arial" w:hAnsi="Arial" w:cs="Arial"/>
          <w:b/>
          <w:bCs/>
          <w:sz w:val="24"/>
          <w:szCs w:val="24"/>
        </w:rPr>
      </w:pPr>
      <w:r>
        <w:rPr>
          <w:rFonts w:ascii="Arial" w:eastAsia="Arial" w:hAnsi="Arial" w:cs="Arial"/>
          <w:sz w:val="24"/>
          <w:szCs w:val="24"/>
        </w:rPr>
        <w:t xml:space="preserve">UNESCO. </w:t>
      </w:r>
      <w:r>
        <w:rPr>
          <w:rFonts w:ascii="Arial" w:eastAsia="Arial" w:hAnsi="Arial" w:cs="Arial"/>
          <w:i/>
          <w:iCs/>
          <w:sz w:val="24"/>
          <w:szCs w:val="24"/>
        </w:rPr>
        <w:t>Declaração de Salamanca e Enquadramento da Ação na área das necessidades educativas especiais.</w:t>
      </w:r>
      <w:r>
        <w:rPr>
          <w:rFonts w:ascii="Arial" w:eastAsia="Arial" w:hAnsi="Arial" w:cs="Arial"/>
          <w:sz w:val="24"/>
          <w:szCs w:val="24"/>
        </w:rPr>
        <w:t xml:space="preserve"> Conferência mundial sobre necessidades educativas especiais: acesso e qualidade. Salamanca, Espanha, 7-10 de junho de 1994.</w:t>
      </w:r>
    </w:p>
    <w:p w14:paraId="0819DCB0" w14:textId="77777777" w:rsidR="00370202" w:rsidRDefault="001047CC">
      <w:pPr>
        <w:spacing w:before="240" w:after="240" w:line="360" w:lineRule="auto"/>
        <w:jc w:val="both"/>
        <w:rPr>
          <w:rFonts w:ascii="Arial" w:eastAsia="Arial" w:hAnsi="Arial" w:cs="Arial"/>
          <w:b/>
          <w:bCs/>
          <w:sz w:val="24"/>
          <w:szCs w:val="24"/>
        </w:rPr>
      </w:pPr>
      <w:r>
        <w:rPr>
          <w:rFonts w:ascii="Arial" w:eastAsia="Arial" w:hAnsi="Arial" w:cs="Arial"/>
          <w:sz w:val="24"/>
          <w:szCs w:val="24"/>
        </w:rPr>
        <w:t xml:space="preserve">ROSA, Renata Cristina Martins; RUFINO, Hugo Leonardo Pereira. A subjetividade na contemporaneidade e a sua influência na relação do aluno com o processo de ensino-aprendizagem. </w:t>
      </w:r>
      <w:r>
        <w:rPr>
          <w:rFonts w:ascii="Arial" w:eastAsia="Arial" w:hAnsi="Arial" w:cs="Arial"/>
          <w:i/>
          <w:iCs/>
          <w:sz w:val="24"/>
          <w:szCs w:val="24"/>
        </w:rPr>
        <w:t xml:space="preserve">Cadernos da </w:t>
      </w:r>
      <w:proofErr w:type="spellStart"/>
      <w:r>
        <w:rPr>
          <w:rFonts w:ascii="Arial" w:eastAsia="Arial" w:hAnsi="Arial" w:cs="Arial"/>
          <w:i/>
          <w:iCs/>
          <w:sz w:val="24"/>
          <w:szCs w:val="24"/>
        </w:rPr>
        <w:t>Fucamp</w:t>
      </w:r>
      <w:proofErr w:type="spellEnd"/>
      <w:r>
        <w:rPr>
          <w:rFonts w:ascii="Arial" w:eastAsia="Arial" w:hAnsi="Arial" w:cs="Arial"/>
          <w:sz w:val="24"/>
          <w:szCs w:val="24"/>
        </w:rPr>
        <w:t>, v. 20, n. 46, p. 61-73, 2021. Disponível em: https://revistas.fucamp.edu.br/index.php/cadernos/article/view/2449. Acesso em: 20 mar. 2025.</w:t>
      </w:r>
    </w:p>
    <w:p w14:paraId="63340EEC" w14:textId="77777777" w:rsidR="00370202" w:rsidRDefault="001047CC">
      <w:pPr>
        <w:spacing w:before="240" w:after="240" w:line="360" w:lineRule="auto"/>
        <w:jc w:val="both"/>
        <w:rPr>
          <w:rFonts w:ascii="Arial" w:eastAsia="Arial" w:hAnsi="Arial" w:cs="Arial"/>
          <w:b/>
          <w:bCs/>
          <w:sz w:val="24"/>
          <w:szCs w:val="24"/>
        </w:rPr>
      </w:pPr>
      <w:r>
        <w:rPr>
          <w:rFonts w:ascii="Arial" w:eastAsia="Arial" w:hAnsi="Arial" w:cs="Arial"/>
          <w:sz w:val="24"/>
          <w:szCs w:val="24"/>
        </w:rPr>
        <w:t xml:space="preserve">SIBILIA, Paula. </w:t>
      </w:r>
      <w:r>
        <w:rPr>
          <w:rFonts w:ascii="Arial" w:eastAsia="Arial" w:hAnsi="Arial" w:cs="Arial"/>
          <w:i/>
          <w:iCs/>
          <w:sz w:val="24"/>
          <w:szCs w:val="24"/>
        </w:rPr>
        <w:t xml:space="preserve">Redes ou paredes: </w:t>
      </w:r>
      <w:r>
        <w:rPr>
          <w:rFonts w:ascii="Arial" w:eastAsia="Arial" w:hAnsi="Arial" w:cs="Arial"/>
          <w:sz w:val="24"/>
          <w:szCs w:val="24"/>
        </w:rPr>
        <w:t>a escola em tempos de dispersão. Rio de Janeiro: Contraponto, 2012.</w:t>
      </w:r>
    </w:p>
    <w:sectPr w:rsidR="00370202" w:rsidSect="00B154FE">
      <w:headerReference w:type="default" r:id="rId6"/>
      <w:headerReference w:type="first" r:id="rId7"/>
      <w:footerReference w:type="first" r:id="rId8"/>
      <w:pgSz w:w="11906" w:h="16838"/>
      <w:pgMar w:top="1701" w:right="1134" w:bottom="1134" w:left="1701" w:header="709" w:footer="709" w:gutter="0"/>
      <w:pgNumType w:start="3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684B" w14:textId="77777777" w:rsidR="00D4007E" w:rsidRDefault="00D4007E">
      <w:pPr>
        <w:spacing w:after="0" w:line="240" w:lineRule="auto"/>
      </w:pPr>
      <w:r>
        <w:separator/>
      </w:r>
    </w:p>
  </w:endnote>
  <w:endnote w:type="continuationSeparator" w:id="0">
    <w:p w14:paraId="7BB9163B" w14:textId="77777777" w:rsidR="00D4007E" w:rsidRDefault="00D4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AFD7D26-D23D-4968-8AE2-143CF8636C5D}"/>
    <w:embedItalic r:id="rId2" w:fontKey="{727C7F0E-021C-4208-BFB4-A6478E9F5C63}"/>
  </w:font>
  <w:font w:name="Play">
    <w:altName w:val="Calibri"/>
    <w:charset w:val="00"/>
    <w:family w:val="auto"/>
    <w:pitch w:val="default"/>
    <w:embedRegular r:id="rId3" w:fontKey="{993AAB60-6432-44CC-BFA5-495FF526F0D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FFC8F713-1919-4516-B4EE-FCF658C88571}"/>
  </w:font>
  <w:font w:name="Cambria">
    <w:panose1 w:val="02040503050406030204"/>
    <w:charset w:val="00"/>
    <w:family w:val="roman"/>
    <w:pitch w:val="variable"/>
    <w:sig w:usb0="E00006FF" w:usb1="420024FF" w:usb2="02000000" w:usb3="00000000" w:csb0="0000019F" w:csb1="00000000"/>
    <w:embedRegular r:id="rId5" w:fontKey="{1AAC5C47-74D8-435A-ADB8-605E646256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B6C3" w14:textId="77777777" w:rsidR="00370202" w:rsidRDefault="001047CC">
    <w:pPr>
      <w:pBdr>
        <w:top w:val="nil"/>
        <w:left w:val="nil"/>
        <w:bottom w:val="nil"/>
        <w:right w:val="nil"/>
        <w:between w:val="nil"/>
      </w:pBdr>
      <w:spacing w:before="2" w:after="140" w:line="276" w:lineRule="auto"/>
      <w:rPr>
        <w:rFonts w:ascii="Times New Roman" w:eastAsia="Times New Roman" w:hAnsi="Times New Roman" w:cs="Times New Roman"/>
        <w:color w:val="000000"/>
        <w:sz w:val="12"/>
        <w:szCs w:val="12"/>
      </w:rPr>
    </w:pPr>
    <w:r>
      <w:rPr>
        <w:noProof/>
      </w:rPr>
      <mc:AlternateContent>
        <mc:Choice Requires="wpg">
          <w:drawing>
            <wp:anchor distT="0" distB="0" distL="0" distR="0" simplePos="0" relativeHeight="251658240" behindDoc="0" locked="0" layoutInCell="1" hidden="0" allowOverlap="1" wp14:anchorId="52530DC4" wp14:editId="5743F1AB">
              <wp:simplePos x="0" y="0"/>
              <wp:positionH relativeFrom="column">
                <wp:posOffset>634</wp:posOffset>
              </wp:positionH>
              <wp:positionV relativeFrom="paragraph">
                <wp:posOffset>98400</wp:posOffset>
              </wp:positionV>
              <wp:extent cx="1828800" cy="12700"/>
              <wp:effectExtent l="0" t="0" r="0" b="0"/>
              <wp:wrapTopAndBottom distT="0" distB="0"/>
              <wp:docPr id="1" name="Forma Livre: Forma 1"/>
              <wp:cNvGraphicFramePr/>
              <a:graphic xmlns:a="http://schemas.openxmlformats.org/drawingml/2006/main">
                <a:graphicData uri="http://schemas.microsoft.com/office/word/2010/wordprocessingShape">
                  <wps:wsp>
                    <wps:cNvSpPr/>
                    <wps:spPr>
                      <a:xfrm>
                        <a:off x="4431600" y="3776190"/>
                        <a:ext cx="1828800" cy="7620"/>
                      </a:xfrm>
                      <a:custGeom>
                        <a:avLst/>
                        <a:gdLst/>
                        <a:ahLst/>
                        <a:cxnLst/>
                        <a:rect l="l" t="t" r="r" b="b"/>
                        <a:pathLst>
                          <a:path w="1828800" h="7620" extrusionOk="0">
                            <a:moveTo>
                              <a:pt x="1828800" y="0"/>
                            </a:moveTo>
                            <a:lnTo>
                              <a:pt x="0" y="0"/>
                            </a:lnTo>
                            <a:lnTo>
                              <a:pt x="0" y="7619"/>
                            </a:lnTo>
                            <a:lnTo>
                              <a:pt x="1828800" y="7619"/>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634</wp:posOffset>
              </wp:positionH>
              <wp:positionV relativeFrom="paragraph">
                <wp:posOffset>98400</wp:posOffset>
              </wp:positionV>
              <wp:extent cx="182880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828800" cy="12700"/>
                      </a:xfrm>
                      <a:prstGeom prst="rect"/>
                      <a:ln/>
                    </pic:spPr>
                  </pic:pic>
                </a:graphicData>
              </a:graphic>
            </wp:anchor>
          </w:drawing>
        </mc:Fallback>
      </mc:AlternateContent>
    </w:r>
  </w:p>
  <w:p w14:paraId="44C51DCC" w14:textId="77777777" w:rsidR="00370202" w:rsidRDefault="001047CC">
    <w:pPr>
      <w:spacing w:before="102" w:line="246" w:lineRule="auto"/>
      <w:ind w:right="126"/>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1-Mestranda no Programa de Pós-Graduação em Educação na Faculdade de Inhumas (Turma 2024/01). Professora intérprete da rede Estadual de Educação e professora de AEE da rede Municipal de Educação de Itaberaí-Go. Especialista em Psicopedagogia (Faculdade Universo Goiânia) e Educação Inclusiva com Ênfase em Libras (CEAP Goiânia). E-mail </w:t>
    </w:r>
    <w:hyperlink r:id="rId2">
      <w:r>
        <w:rPr>
          <w:rFonts w:ascii="Times New Roman" w:eastAsia="Times New Roman" w:hAnsi="Times New Roman" w:cs="Times New Roman"/>
          <w:sz w:val="16"/>
          <w:szCs w:val="16"/>
        </w:rPr>
        <w:t>karlajanaina@aluno.facmais.edu.br</w:t>
      </w:r>
    </w:hyperlink>
    <w:r>
      <w:rPr>
        <w:rFonts w:ascii="Times New Roman" w:eastAsia="Times New Roman" w:hAnsi="Times New Roman" w:cs="Times New Roman"/>
        <w:sz w:val="16"/>
        <w:szCs w:val="16"/>
      </w:rPr>
      <w:t xml:space="preserve"> </w:t>
    </w:r>
    <w:hyperlink r:id="rId3">
      <w:r>
        <w:rPr>
          <w:rFonts w:ascii="Times New Roman" w:eastAsia="Times New Roman" w:hAnsi="Times New Roman" w:cs="Times New Roman"/>
          <w:color w:val="000000"/>
          <w:sz w:val="16"/>
          <w:szCs w:val="16"/>
        </w:rPr>
        <w:t xml:space="preserve"> </w:t>
      </w:r>
    </w:hyperlink>
    <w:hyperlink r:id="rId4">
      <w:r>
        <w:rPr>
          <w:rFonts w:ascii="Times New Roman" w:eastAsia="Times New Roman" w:hAnsi="Times New Roman" w:cs="Times New Roman"/>
          <w:color w:val="000000"/>
          <w:sz w:val="16"/>
          <w:szCs w:val="16"/>
        </w:rPr>
        <w:t>https://lattes.cnpq.br/5084174360361662</w:t>
      </w:r>
    </w:hyperlink>
  </w:p>
  <w:p w14:paraId="5914F579" w14:textId="77777777" w:rsidR="00370202" w:rsidRDefault="001047CC">
    <w:pPr>
      <w:spacing w:before="102" w:line="246" w:lineRule="auto"/>
      <w:ind w:right="126"/>
      <w:jc w:val="both"/>
      <w:rPr>
        <w:sz w:val="16"/>
        <w:szCs w:val="16"/>
      </w:rPr>
    </w:pPr>
    <w:r>
      <w:rPr>
        <w:rFonts w:ascii="Times New Roman" w:eastAsia="Times New Roman" w:hAnsi="Times New Roman" w:cs="Times New Roman"/>
        <w:color w:val="000000"/>
        <w:sz w:val="16"/>
        <w:szCs w:val="16"/>
      </w:rPr>
      <w:t>2.</w:t>
    </w:r>
    <w:r>
      <w:t xml:space="preserve"> </w:t>
    </w:r>
    <w:r>
      <w:rPr>
        <w:rFonts w:ascii="Times New Roman" w:eastAsia="Times New Roman" w:hAnsi="Times New Roman" w:cs="Times New Roman"/>
        <w:color w:val="000000"/>
        <w:sz w:val="16"/>
        <w:szCs w:val="16"/>
      </w:rPr>
      <w:t>Doutora em Educação pela Pontifícia Universidade Católica de Goiás (PUC-Goiás). Docente Permanente no Programa de Pós- Graduação em Educação /Centro Universitário Mais (</w:t>
    </w:r>
    <w:proofErr w:type="spellStart"/>
    <w:r>
      <w:rPr>
        <w:rFonts w:ascii="Times New Roman" w:eastAsia="Times New Roman" w:hAnsi="Times New Roman" w:cs="Times New Roman"/>
        <w:color w:val="000000"/>
        <w:sz w:val="16"/>
        <w:szCs w:val="16"/>
      </w:rPr>
      <w:t>UniMais</w:t>
    </w:r>
    <w:proofErr w:type="spellEnd"/>
    <w:r>
      <w:rPr>
        <w:rFonts w:ascii="Times New Roman" w:eastAsia="Times New Roman" w:hAnsi="Times New Roman" w:cs="Times New Roman"/>
        <w:color w:val="000000"/>
        <w:sz w:val="16"/>
        <w:szCs w:val="16"/>
      </w:rPr>
      <w:t>), onde integra a Linha de Pesquisa Educação, Instituições e Políticas Educacionais e coordena o projeto de pesquisa: Políticas públicas e o direito à educação: desdobramentos na Educação Básica</w:t>
    </w:r>
    <w:r>
      <w:tab/>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E97D2" w14:textId="77777777" w:rsidR="00D4007E" w:rsidRDefault="00D4007E">
      <w:pPr>
        <w:spacing w:after="0" w:line="240" w:lineRule="auto"/>
      </w:pPr>
      <w:r>
        <w:separator/>
      </w:r>
    </w:p>
  </w:footnote>
  <w:footnote w:type="continuationSeparator" w:id="0">
    <w:p w14:paraId="1555F97F" w14:textId="77777777" w:rsidR="00D4007E" w:rsidRDefault="00D40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CB3C" w14:textId="2CDCFB5E" w:rsidR="00370202" w:rsidRDefault="00F328DA">
    <w:pPr>
      <w:pBdr>
        <w:top w:val="nil"/>
        <w:left w:val="nil"/>
        <w:bottom w:val="nil"/>
        <w:right w:val="nil"/>
        <w:between w:val="nil"/>
      </w:pBdr>
      <w:tabs>
        <w:tab w:val="center" w:pos="4252"/>
        <w:tab w:val="right" w:pos="8504"/>
      </w:tabs>
      <w:spacing w:after="0" w:line="240" w:lineRule="auto"/>
      <w:jc w:val="right"/>
      <w:rPr>
        <w:color w:val="000000"/>
      </w:rPr>
    </w:pPr>
    <w:r>
      <w:rPr>
        <w:noProof/>
        <w:color w:val="000000"/>
      </w:rPr>
      <w:drawing>
        <wp:anchor distT="0" distB="0" distL="114300" distR="114300" simplePos="0" relativeHeight="251662336" behindDoc="1" locked="0" layoutInCell="1" allowOverlap="1" wp14:anchorId="496C6402" wp14:editId="5BB3A088">
          <wp:simplePos x="0" y="0"/>
          <wp:positionH relativeFrom="page">
            <wp:posOffset>-15240</wp:posOffset>
          </wp:positionH>
          <wp:positionV relativeFrom="paragraph">
            <wp:posOffset>-438785</wp:posOffset>
          </wp:positionV>
          <wp:extent cx="7553325" cy="10688320"/>
          <wp:effectExtent l="0" t="0" r="9525" b="0"/>
          <wp:wrapNone/>
          <wp:docPr id="358929841" name="Imagem 1" descr="Uma imagem contendo 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89826" name="Imagem 1" descr="Uma imagem contendo Forma&#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8320"/>
                  </a:xfrm>
                  <a:prstGeom prst="rect">
                    <a:avLst/>
                  </a:prstGeom>
                </pic:spPr>
              </pic:pic>
            </a:graphicData>
          </a:graphic>
          <wp14:sizeRelH relativeFrom="margin">
            <wp14:pctWidth>0</wp14:pctWidth>
          </wp14:sizeRelH>
          <wp14:sizeRelV relativeFrom="margin">
            <wp14:pctHeight>0</wp14:pctHeight>
          </wp14:sizeRelV>
        </wp:anchor>
      </w:drawing>
    </w:r>
    <w:r w:rsidR="001047CC">
      <w:rPr>
        <w:color w:val="000000"/>
      </w:rPr>
      <w:fldChar w:fldCharType="begin"/>
    </w:r>
    <w:r w:rsidR="001047CC">
      <w:rPr>
        <w:color w:val="000000"/>
      </w:rPr>
      <w:instrText>PAGE</w:instrText>
    </w:r>
    <w:r w:rsidR="001047CC">
      <w:rPr>
        <w:color w:val="000000"/>
      </w:rPr>
      <w:fldChar w:fldCharType="separate"/>
    </w:r>
    <w:r w:rsidR="00B154FE">
      <w:rPr>
        <w:noProof/>
        <w:color w:val="000000"/>
      </w:rPr>
      <w:t>2</w:t>
    </w:r>
    <w:r w:rsidR="001047CC">
      <w:rPr>
        <w:color w:val="000000"/>
      </w:rPr>
      <w:fldChar w:fldCharType="end"/>
    </w:r>
  </w:p>
  <w:p w14:paraId="2BE3767E" w14:textId="77777777" w:rsidR="00370202" w:rsidRDefault="00370202">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145347"/>
      <w:docPartObj>
        <w:docPartGallery w:val="Page Numbers (Top of Page)"/>
        <w:docPartUnique/>
      </w:docPartObj>
    </w:sdtPr>
    <w:sdtEndPr/>
    <w:sdtContent>
      <w:p w14:paraId="794770E2" w14:textId="0EC41A5B" w:rsidR="00B154FE" w:rsidRDefault="00B154FE">
        <w:pPr>
          <w:pStyle w:val="Cabealho"/>
          <w:jc w:val="right"/>
        </w:pPr>
        <w:r>
          <w:rPr>
            <w:noProof/>
            <w:color w:val="000000"/>
          </w:rPr>
          <w:drawing>
            <wp:anchor distT="0" distB="0" distL="114300" distR="114300" simplePos="0" relativeHeight="251660288" behindDoc="1" locked="0" layoutInCell="1" allowOverlap="1" wp14:anchorId="11AF810D" wp14:editId="345EBCE6">
              <wp:simplePos x="0" y="0"/>
              <wp:positionH relativeFrom="page">
                <wp:align>right</wp:align>
              </wp:positionH>
              <wp:positionV relativeFrom="paragraph">
                <wp:posOffset>-438785</wp:posOffset>
              </wp:positionV>
              <wp:extent cx="7553325" cy="10688332"/>
              <wp:effectExtent l="0" t="0" r="0" b="0"/>
              <wp:wrapNone/>
              <wp:docPr id="984089826" name="Imagem 1" descr="Uma imagem contendo 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89826" name="Imagem 1" descr="Uma imagem contendo Forma&#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8332"/>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010B6D01" w14:textId="77777777" w:rsidR="00B154FE" w:rsidRDefault="00B154F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202"/>
    <w:rsid w:val="001047CC"/>
    <w:rsid w:val="00370202"/>
    <w:rsid w:val="00B154FE"/>
    <w:rsid w:val="00D10FAE"/>
    <w:rsid w:val="00D4007E"/>
    <w:rsid w:val="00F328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A50F"/>
  <w15:docId w15:val="{075B3E26-F234-4C49-B409-59330F8A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paragraph" w:styleId="Cabealho">
    <w:name w:val="header"/>
    <w:basedOn w:val="Normal"/>
    <w:link w:val="CabealhoChar"/>
    <w:uiPriority w:val="99"/>
    <w:unhideWhenUsed/>
    <w:rsid w:val="00B154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154FE"/>
  </w:style>
  <w:style w:type="paragraph" w:styleId="Rodap">
    <w:name w:val="footer"/>
    <w:basedOn w:val="Normal"/>
    <w:link w:val="RodapChar"/>
    <w:uiPriority w:val="99"/>
    <w:unhideWhenUsed/>
    <w:rsid w:val="00B154FE"/>
    <w:pPr>
      <w:tabs>
        <w:tab w:val="center" w:pos="4252"/>
        <w:tab w:val="right" w:pos="8504"/>
      </w:tabs>
      <w:spacing w:after="0" w:line="240" w:lineRule="auto"/>
    </w:pPr>
  </w:style>
  <w:style w:type="character" w:customStyle="1" w:styleId="RodapChar">
    <w:name w:val="Rodapé Char"/>
    <w:basedOn w:val="Fontepargpadro"/>
    <w:link w:val="Rodap"/>
    <w:uiPriority w:val="99"/>
    <w:rsid w:val="00B15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https://wwws.cnpq.br/cvlattesweb/PKG_MENU.menu?f_cod=51544D6162F8C67F8DBD75143BC6D4BD" TargetMode="External"/><Relationship Id="rId2" Type="http://schemas.openxmlformats.org/officeDocument/2006/relationships/hyperlink" Target="mailto:karlajanaina@aluno.facmais.edu.br" TargetMode="External"/><Relationship Id="rId1" Type="http://schemas.openxmlformats.org/officeDocument/2006/relationships/image" Target="media/image10.png"/><Relationship Id="rId4" Type="http://schemas.openxmlformats.org/officeDocument/2006/relationships/hyperlink" Target="https://lattes.cnpq.br/50841743603616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4810</Words>
  <Characters>28561</Characters>
  <Application>Microsoft Office Word</Application>
  <DocSecurity>0</DocSecurity>
  <Lines>465</Lines>
  <Paragraphs>64</Paragraphs>
  <ScaleCrop>false</ScaleCrop>
  <Company/>
  <LinksUpToDate>false</LinksUpToDate>
  <CharactersWithSpaces>33313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Guimair Furtado Ferreira</cp:lastModifiedBy>
  <cp:revision>3</cp:revision>
  <dcterms:created xsi:type="dcterms:W3CDTF">2026-03-02T01:43:00Z</dcterms:created>
  <dcterms:modified xsi:type="dcterms:W3CDTF">2026-03-02T01:47:00Z</dcterms:modified>
</cp:coreProperties>
</file>